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Вологодской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69" w:lineRule="auto"/>
        <w:ind w:left="0" w:right="0" w:firstLine="0"/>
        <w:jc w:val="center"/>
      </w:pPr>
      <w:r>
        <w:rPr>
          <w:rStyle w:val="CharStyle6"/>
        </w:rPr>
        <w:t>ул. Пушкинская, 25, г. Вологда, 160000</w:t>
        <w:br/>
        <w:t>тел. (8172) 72-99-70, (499) 755-23-23 (доб. 035-103)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"mailto:to35@fas.gov.ru" </w:instrText>
      </w:r>
      <w:r>
        <w:fldChar w:fldCharType="separate"/>
      </w:r>
      <w:r>
        <w:rPr>
          <w:rStyle w:val="CharStyle6"/>
          <w:lang w:val="en-US" w:eastAsia="en-US"/>
        </w:rPr>
        <w:t>to35@fas.gov.ru</w:t>
      </w:r>
      <w:r>
        <w:fldChar w:fldCharType="end"/>
      </w:r>
      <w:r>
        <w:rPr>
          <w:rStyle w:val="CharStyle6"/>
          <w:lang w:val="en-US" w:eastAsia="en-US"/>
        </w:rPr>
        <w:br/>
      </w:r>
      <w:r>
        <w:fldChar w:fldCharType="begin"/>
      </w:r>
      <w:r>
        <w:rPr/>
        <w:instrText> HYPERLINK "https://vologda.fas.gov.ru" </w:instrText>
      </w:r>
      <w:r>
        <w:fldChar w:fldCharType="separate"/>
      </w:r>
      <w:r>
        <w:rPr>
          <w:rStyle w:val="CharStyle6"/>
          <w:lang w:val="en-US" w:eastAsia="en-US"/>
        </w:rPr>
        <w:t>https://vologda.fas.gov.ru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20" w:line="298" w:lineRule="auto"/>
        <w:ind w:left="0" w:right="0" w:firstLine="0"/>
        <w:jc w:val="right"/>
      </w:pPr>
      <w:r>
        <w:rPr>
          <w:rStyle w:val="CharStyle6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 w:line="298" w:lineRule="auto"/>
        <w:ind w:left="0" w:right="0" w:firstLine="0"/>
        <w:jc w:val="right"/>
      </w:pPr>
      <w:r>
        <w:rPr>
          <w:rStyle w:val="CharStyle6"/>
        </w:rPr>
        <w:t xml:space="preserve">На№  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Решение № 035/06/105-438/2026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1"/>
        </w:rPr>
        <w:t>БЮДЖЕТНОЕ УЧРЕЖДЕНИЕ ЗДРАВООХРАНЕНИЯ ВОЛОГОДСКОЙ ОБЛАСТИ "ВЕЛИКОУСТЮГСКАЯ ЦЕНТРАЛЬНАЯ РАЙОННАЯ БОЛЬНИЦА"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910" w:bottom="1217" w:left="1130" w:header="0" w:footer="3" w:gutter="0"/>
          <w:pgNumType w:start="1"/>
          <w:cols w:num="2" w:space="720" w:equalWidth="0">
            <w:col w:w="4114" w:space="1166"/>
            <w:col w:w="4579"/>
          </w:cols>
          <w:noEndnote/>
          <w:titlePg/>
          <w:rtlGutter w:val="0"/>
          <w:docGrid w:linePitch="360"/>
        </w:sectPr>
      </w:pPr>
      <w:r>
        <w:rPr>
          <w:rStyle w:val="CharStyle11"/>
        </w:rPr>
        <w:t>БАРАНЗАЕВ БАЯР БАДМАДОРЖИЕВИЧ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" w:after="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0" w:right="0" w:bottom="11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1"/>
          <w:b/>
          <w:bCs/>
        </w:rPr>
        <w:t>РЕШЕНИЕ № 035/10/105-438/2026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9072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11"/>
        </w:rPr>
        <w:t>«14» мая 2026г.</w:t>
        <w:tab/>
        <w:t>г. Вологда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Комиссия Управления Федеральной антимонопольной службы по Вологодской области (далее – комиссия Управления)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Смышляева И.А. – начальник отдела контроля закупок Управления Федеральной антимонопольной службы по Вологодской области, председатель комиссии Управления,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Косоногова Е.А. - старший специалист 1 разряда отдела контроля закупок Управления Федеральной антимонопольной службы по Вологодской области, член комиссии Управления,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740"/>
        <w:jc w:val="both"/>
      </w:pPr>
      <w:r>
        <w:rPr>
          <w:rStyle w:val="CharStyle11"/>
        </w:rPr>
        <w:t>Николаева К.Д. - старший специалист 1 разряда отдела контроля закупок Управления Федеральной антимонопольной службы по Вологодской области, член комиссии Управления, рассмотрев посредством использования видео-конференц-связи жалобу ИП Баранзаева Б.Б. (далее — Заявитель) на положения извещения о проведении запроса котировок в электронной форме, объект закупки – Поставка товаров медицинского назначения (набор для проведения гемодиализа 1), заказчик - БЮДЖЕТНОЕ УЧРЕЖДЕНИЕ ЗДРАВООХРАНЕНИЯ ВОЛОГОДСКОЙ ОБЛАСТИ "ВЕЛИКОУСТЮГСКАЯ ЦЕНТРАЛЬНАЯ РАЙОННАЯ БОЛЬНИЦА" (реестровый номер извещения в ЕИС 0330300082626000186; далее — запрос котировок, закупка), а также в рамках проведения внеплановой проверки в соответствии со статьей 99 Закона контрактной системе,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 развития «ВЭБ.РФ», региональных гарантийных организаций, утвержденными Постановлением Правительства РФ от 01.10.2020 № 1576 (далее – Правила № 1576), в отсутствие представителей Заявителя, Заказчика,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7"/>
        </w:rPr>
        <w:t>1IIIIIIIIIIIIIIIIIIIIIII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1"/>
          <w:b/>
          <w:bCs/>
        </w:rPr>
        <w:t>У С Т А Н О В И Л 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  <w:lang w:val="en-US" w:eastAsia="en-US"/>
        </w:rPr>
        <w:t xml:space="preserve">07.05.2026 </w:t>
      </w:r>
      <w:r>
        <w:rPr>
          <w:rStyle w:val="CharStyle11"/>
        </w:rPr>
        <w:t xml:space="preserve">в Управление Федеральной антимонопольной службы по Вологодской области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Управление) посредством единой информационной системы в сфере закупок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ЕИС) поступила жалоба Заявителя на положения извещения о проведении запроса котировок, противоречащие Федеральному закону от </w:t>
      </w:r>
      <w:r>
        <w:rPr>
          <w:rStyle w:val="CharStyle11"/>
          <w:lang w:val="en-US" w:eastAsia="en-US"/>
        </w:rPr>
        <w:t xml:space="preserve">05.04.2013 № </w:t>
      </w:r>
      <w:r>
        <w:rPr>
          <w:rStyle w:val="CharStyle11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Закон о контрактной системе, Закон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>44-ФЗ).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Жалоба Заявителя подана в надлежащий срок, соответствует требованиям, предусмотренным статьей </w:t>
      </w:r>
      <w:r>
        <w:rPr>
          <w:rStyle w:val="CharStyle11"/>
          <w:lang w:val="en-US" w:eastAsia="en-US"/>
        </w:rPr>
        <w:t xml:space="preserve">105 </w:t>
      </w:r>
      <w:r>
        <w:rPr>
          <w:rStyle w:val="CharStyle11"/>
        </w:rPr>
        <w:t xml:space="preserve">Закона о контрактной системе, принята Управлением к рассмотрению, информация о чем в соответствии с требованием части </w:t>
      </w:r>
      <w:r>
        <w:rPr>
          <w:rStyle w:val="CharStyle11"/>
          <w:lang w:val="en-US" w:eastAsia="en-US"/>
        </w:rPr>
        <w:t xml:space="preserve">8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105 </w:t>
      </w:r>
      <w:r>
        <w:rPr>
          <w:rStyle w:val="CharStyle11"/>
        </w:rPr>
        <w:t>Закона о контрактной системе размещена в ЕИС.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Из доводов жалобы следует, что Заказчиком нарушены требования законодательства о контрактной системе в части требований к описанию объекта закупки, поскольку содержит требование о совместимости поставляемых изделий с аппаратами «искусственная почка», находящимися на гарантийном обслуживании у производителя </w:t>
      </w:r>
      <w:r>
        <w:rPr>
          <w:rStyle w:val="CharStyle11"/>
          <w:lang w:val="en-US" w:eastAsia="en-US"/>
        </w:rPr>
        <w:t xml:space="preserve">(Fresenius Medical Care), </w:t>
      </w:r>
      <w:r>
        <w:rPr>
          <w:rStyle w:val="CharStyle11"/>
        </w:rPr>
        <w:t xml:space="preserve">а также необоснованное объединение в один лот </w:t>
      </w:r>
      <w:r>
        <w:rPr>
          <w:rStyle w:val="CharStyle11"/>
          <w:lang w:val="en-US" w:eastAsia="en-US"/>
        </w:rPr>
        <w:t xml:space="preserve">17 </w:t>
      </w:r>
      <w:r>
        <w:rPr>
          <w:rStyle w:val="CharStyle11"/>
        </w:rPr>
        <w:t>разнородных товаров (диализаторы, кровопроводящие магистрали, фистульные иглы, концентраты, фильтры диализата, дезинфицирующий раствор).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rStyle w:val="CharStyle11"/>
        </w:rPr>
        <w:t>Заказчик представил возражения на жалобу, приобщенные к материалам настоящего дела.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Комиссия Управления, рассмотрев представленные материалы в их совокупности, а также осуществив контрольные мероприятия в рамках проведения внеплановой проверки, пришла к следующему выводу.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 xml:space="preserve">Закон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>44-ФЗ установлено, что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  <w:lang w:val="en-US" w:eastAsia="en-US"/>
        </w:rPr>
        <w:t xml:space="preserve">30.04.2026 </w:t>
      </w:r>
      <w:r>
        <w:rPr>
          <w:rStyle w:val="CharStyle11"/>
        </w:rPr>
        <w:t>в ЕИС размещено извещение о проведении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Объект закупки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Поставка товаров медицинского назначения (набор для проведения гемодиализа </w:t>
      </w:r>
      <w:r>
        <w:rPr>
          <w:rStyle w:val="CharStyle11"/>
          <w:lang w:val="en-US" w:eastAsia="en-US"/>
        </w:rPr>
        <w:t>1).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Начальная (максимальная) цена контракта: </w:t>
      </w:r>
      <w:r>
        <w:rPr>
          <w:rStyle w:val="CharStyle11"/>
          <w:lang w:val="en-US" w:eastAsia="en-US"/>
        </w:rPr>
        <w:t xml:space="preserve">499 000,00 </w:t>
      </w:r>
      <w:r>
        <w:rPr>
          <w:rStyle w:val="CharStyle11"/>
        </w:rPr>
        <w:t>руб.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Дата и время окончания срока подачи заявок: </w:t>
      </w:r>
      <w:r>
        <w:rPr>
          <w:rStyle w:val="CharStyle11"/>
          <w:lang w:val="en-US" w:eastAsia="en-US"/>
        </w:rPr>
        <w:t>08.05.2026.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В соответствии с извещением о проведении закупки, описанием объекта закупки заказчик закупает по </w:t>
      </w:r>
      <w:r>
        <w:rPr>
          <w:rStyle w:val="CharStyle11"/>
          <w:lang w:val="en-US" w:eastAsia="en-US"/>
        </w:rPr>
        <w:t xml:space="preserve">17 </w:t>
      </w:r>
      <w:r>
        <w:rPr>
          <w:rStyle w:val="CharStyle11"/>
        </w:rPr>
        <w:t xml:space="preserve">позициям наборы для гемодиализа (КТРУ </w:t>
      </w:r>
      <w:r>
        <w:rPr>
          <w:rStyle w:val="CharStyle11"/>
          <w:lang w:val="en-US" w:eastAsia="en-US"/>
        </w:rPr>
        <w:t>32.50.13.190-00008038).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В извещении, описании объекта закупки предусмотрена совместимость с имеющимися в наличии у Заказчика аппаратами «Искусственная почка» типа </w:t>
      </w:r>
      <w:r>
        <w:rPr>
          <w:rStyle w:val="CharStyle11"/>
          <w:lang w:val="en-US" w:eastAsia="en-US"/>
        </w:rPr>
        <w:t xml:space="preserve">5008S </w:t>
      </w:r>
      <w:r>
        <w:rPr>
          <w:rStyle w:val="CharStyle11"/>
        </w:rPr>
        <w:t xml:space="preserve">с принадлежностями, производства </w:t>
      </w:r>
      <w:r>
        <w:rPr>
          <w:rStyle w:val="CharStyle11"/>
          <w:lang w:val="en-US" w:eastAsia="en-US"/>
        </w:rPr>
        <w:t xml:space="preserve">«FreseniusMedicalCare» </w:t>
      </w:r>
      <w:r>
        <w:rPr>
          <w:rStyle w:val="CharStyle11"/>
        </w:rPr>
        <w:t xml:space="preserve">(РУ №ФСЗ </w:t>
      </w:r>
      <w:r>
        <w:rPr>
          <w:rStyle w:val="CharStyle11"/>
          <w:lang w:val="en-US" w:eastAsia="en-US"/>
        </w:rPr>
        <w:t xml:space="preserve">2008/01823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 xml:space="preserve">15.02.2024 </w:t>
      </w:r>
      <w:r>
        <w:rPr>
          <w:rStyle w:val="CharStyle11"/>
        </w:rPr>
        <w:t>г.) находящимися на гарантийном обслуживании у производителя.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справочной информации КТРУ </w:t>
      </w:r>
      <w:r>
        <w:rPr>
          <w:rStyle w:val="CharStyle11"/>
          <w:lang w:val="en-US" w:eastAsia="en-US"/>
        </w:rPr>
        <w:t xml:space="preserve">32.50.13.190-00008038 </w:t>
      </w:r>
      <w:r>
        <w:rPr>
          <w:rStyle w:val="CharStyle11"/>
        </w:rPr>
        <w:t>представляет набор стерильных и одноразовых/расходных изделий, предназначенных для подготовки и проведения гемодиализа с использованием системы гемодиализа. Как правило, состоит из комплекта трубок, аппаратов для гемодиализа, концентратов диализата и растворов для промывания для подготовки экстракорпорального контура. Это изделие для одноразового использования.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представленной Заказчиком информации между БУЗ ВО «ВЕЛИКОУСТЮГСКАЯ ЦРБ» и ООО «ФРЕЗЕНИУС» заключен договор безвозмездного пользования оборудованием аппарат «искусственная почка» в количестве четырех штук </w:t>
      </w:r>
      <w:r>
        <w:rPr>
          <w:rStyle w:val="CharStyle11"/>
          <w:lang w:val="en-US" w:eastAsia="en-US"/>
        </w:rPr>
        <w:t>№ 10</w:t>
        <w:softHyphen/>
        <w:t xml:space="preserve">02-25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 xml:space="preserve">24.02.2025, </w:t>
      </w:r>
      <w:r>
        <w:rPr>
          <w:rStyle w:val="CharStyle11"/>
        </w:rPr>
        <w:t>чем и обусловлено приобретение запасных частей к имеющемуся у Заказчика оборудованию.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Заказчиком представлена информация, из которой следует, что инструкция по эксплуатации аппарата </w:t>
      </w:r>
      <w:r>
        <w:rPr>
          <w:rStyle w:val="CharStyle11"/>
          <w:lang w:val="en-US" w:eastAsia="en-US"/>
        </w:rPr>
        <w:t xml:space="preserve">5008S </w:t>
      </w:r>
      <w:r>
        <w:rPr>
          <w:rStyle w:val="CharStyle11"/>
        </w:rPr>
        <w:t xml:space="preserve">производства </w:t>
      </w:r>
      <w:r>
        <w:rPr>
          <w:rStyle w:val="CharStyle11"/>
          <w:lang w:val="en-US" w:eastAsia="en-US"/>
        </w:rPr>
        <w:t xml:space="preserve">Fresenius Medical Care </w:t>
      </w:r>
      <w:r>
        <w:rPr>
          <w:rStyle w:val="CharStyle11"/>
        </w:rPr>
        <w:t xml:space="preserve">(регистрационное удостоверение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 xml:space="preserve">ФСЗ </w:t>
      </w:r>
      <w:r>
        <w:rPr>
          <w:rStyle w:val="CharStyle11"/>
          <w:lang w:val="en-US" w:eastAsia="en-US"/>
        </w:rPr>
        <w:t xml:space="preserve">2008/01823), </w:t>
      </w:r>
      <w:r>
        <w:rPr>
          <w:rStyle w:val="CharStyle11"/>
        </w:rPr>
        <w:t>являющаяся частью регистрационного досье, содержит исчерпывающий перечень расходных материалов, применение которых допустимо совместно с аппаратом, а также прямые ограничения по использованию расходников, не прошедших верификацию производителем.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 учетом пункта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Постановления Правительства РФ от </w:t>
      </w:r>
      <w:r>
        <w:rPr>
          <w:rStyle w:val="CharStyle11"/>
          <w:lang w:val="en-US" w:eastAsia="en-US"/>
        </w:rPr>
        <w:t xml:space="preserve">19.04.2021 № 620 </w:t>
      </w:r>
      <w:r>
        <w:rPr>
          <w:rStyle w:val="CharStyle11"/>
        </w:rPr>
        <w:t>«О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нужд» требование о разделении лота не применяется при закупках медицинских изделий, объединенных в один лот (контракт) с расходными материалами, которые совместимы с такими медицинскими изделиями.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Из пояснений Заказчика следует, что все </w:t>
      </w:r>
      <w:r>
        <w:rPr>
          <w:rStyle w:val="CharStyle11"/>
          <w:lang w:val="en-US" w:eastAsia="en-US"/>
        </w:rPr>
        <w:t xml:space="preserve">17 </w:t>
      </w:r>
      <w:r>
        <w:rPr>
          <w:rStyle w:val="CharStyle11"/>
        </w:rPr>
        <w:t xml:space="preserve">позиций технического задания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 xml:space="preserve">диализаторы, магистрали, концентраты, фильтры, иглы, дезинфицирующий раствор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 xml:space="preserve">прямо поименованы в эксплуатационной документации производителя аппарата </w:t>
      </w:r>
      <w:r>
        <w:rPr>
          <w:rStyle w:val="CharStyle11"/>
          <w:lang w:val="en-US" w:eastAsia="en-US"/>
        </w:rPr>
        <w:t xml:space="preserve">5008S </w:t>
      </w:r>
      <w:r>
        <w:rPr>
          <w:rStyle w:val="CharStyle11"/>
        </w:rPr>
        <w:t>как расходные материалы, предусмотренные для его использования. Следовательно, объединение данных позиций в один лот не только допустимо, но и технически обосновано: все они применяются в ходе единой процедуры гемодиализа и должны быть совместимы между собой и с аппаратом.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части </w:t>
      </w:r>
      <w:r>
        <w:rPr>
          <w:rStyle w:val="CharStyle11"/>
          <w:lang w:val="en-US" w:eastAsia="en-US"/>
        </w:rPr>
        <w:t xml:space="preserve">8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38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21.11.2011 № </w:t>
      </w:r>
      <w:r>
        <w:rPr>
          <w:rStyle w:val="CharStyle11"/>
        </w:rPr>
        <w:t>323-ФЗ «Об основах охраны здоровья граждан в Российской Федерации» в целях государственной регистрации медицинских изделий в порядке, установленном уполномоченным федеральным органом исполнительной власти, проводятся оценка соответствия в форме технических испытаний, токсикологических исследований, клинических испытаний и экспертиза качества, эффективности и безопасности медицинских изделий, а также испытания в целях утверждения типа средств измерений (в отношении медицинских изделий, относящихся к средствам измерений в сфере государственного регулирования обеспечения единства измерений, перечень которых утверждается уполномоченным федеральным органом исполнительной власти).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1"/>
        </w:rPr>
        <w:t>Таким образом, закупка комплектующих иного производителя (изготовителя) допустима, если возможность совместного применения медицинских изделий подтверждена Росздравнадзором в процессе государственной регистрации медицинских изделий.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материалы рассмотрения жалобы не представлена информация, свидетельствующая о возможности закупки в данном случае комплектующих иного производителя (изготовителя).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С учетом совокупности установленных обстоятельств доводы жалобы не нашли своего подтверждения.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части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8 </w:t>
      </w:r>
      <w:r>
        <w:rPr>
          <w:rStyle w:val="CharStyle11"/>
        </w:rPr>
        <w:t xml:space="preserve">Закона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>44-ФЗ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Договоры дарения, договоры ссуды, иные соглашения о передаче анализаторов определенных производителей в безвозмездное пользование заказчику, заключенные с хозяйствующими субъектами, которые имели возможность быть участниками конкурентных закупок таких анализаторов, направлены в дальнейшем на получение такими хозяйствующими субъектами (производителями) определенных преимуществ в виде обеспечения государственными заказчиками периодических закупок расходных материалов к переданным в безвозмездное пользование анализаторам.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Указанные сложившиеся правоотношения Заказчика обуславливают в дальнейшем заключение договора на поставку расходных материалов конкретного производителя диализного оборудования, устраняя конкуренцию на соответствующем товарном рынке.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При таких обстоятельствах Комиссия Управления пришла к выводу о необходимости передачи материалов настоящей жалобы для рассмотрения вопроса о возбуждения дела по признакам нарушения законодательства о защите конкуренции.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1"/>
        </w:rPr>
        <w:t xml:space="preserve">На основании вышеизложенного, комиссия Управления, руководствуясь статьями </w:t>
      </w:r>
      <w:r>
        <w:rPr>
          <w:rStyle w:val="CharStyle11"/>
          <w:lang w:val="en-US" w:eastAsia="en-US"/>
        </w:rPr>
        <w:t xml:space="preserve">99, 106 </w:t>
      </w:r>
      <w:r>
        <w:rPr>
          <w:rStyle w:val="CharStyle11"/>
        </w:rPr>
        <w:t>Закона о контрактной системе,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1"/>
          <w:b/>
          <w:bCs/>
        </w:rPr>
        <w:t>РЕШИЛА: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Признать жалобу ИП Баранзаева Б.Б. на положения извещения о проведении запроса котировок в электронной форме, объект закупки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Поставка товаров медицинского назначения (набор для проведения гемодиализа </w:t>
      </w:r>
      <w:r>
        <w:rPr>
          <w:rStyle w:val="CharStyle11"/>
          <w:lang w:val="en-US" w:eastAsia="en-US"/>
        </w:rPr>
        <w:t xml:space="preserve">1), </w:t>
      </w:r>
      <w:r>
        <w:rPr>
          <w:rStyle w:val="CharStyle11"/>
        </w:rPr>
        <w:t xml:space="preserve">(реестровый номер извещения в ЕИС </w:t>
      </w:r>
      <w:r>
        <w:rPr>
          <w:rStyle w:val="CharStyle11"/>
          <w:lang w:val="en-US" w:eastAsia="en-US"/>
        </w:rPr>
        <w:t xml:space="preserve">0330300082626000186) </w:t>
      </w:r>
      <w:r>
        <w:rPr>
          <w:rStyle w:val="CharStyle11"/>
        </w:rPr>
        <w:t>необоснованной.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2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1"/>
        </w:rPr>
        <w:t>Передать материалы настоящей жалобы уполномоченному должностному лицу для рассмотрения вопроса о возбуждении дела по признакам нарушения законодательства о защите конкуренции.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0" w:right="532" w:bottom="1197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92100" distB="363220" distL="0" distR="0" simplePos="0" relativeHeight="125829378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292100</wp:posOffset>
                </wp:positionV>
                <wp:extent cx="1633855" cy="222250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385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8.149999999999999pt;margin-top:23.pt;width:128.65000000000001pt;height:17.5pt;z-index:-125829375;mso-wrap-distance-left:0;mso-wrap-distance-top:23.pt;mso-wrap-distance-right:0;mso-wrap-distance-bottom:28.6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56235" distB="0" distL="0" distR="1786255" simplePos="0" relativeHeight="125829380" behindDoc="0" locked="0" layoutInCell="1" allowOverlap="1">
            <wp:simplePos x="0" y="0"/>
            <wp:positionH relativeFrom="page">
              <wp:posOffset>2835275</wp:posOffset>
            </wp:positionH>
            <wp:positionV relativeFrom="paragraph">
              <wp:posOffset>356235</wp:posOffset>
            </wp:positionV>
            <wp:extent cx="353695" cy="524510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3295650</wp:posOffset>
                </wp:positionH>
                <wp:positionV relativeFrom="paragraph">
                  <wp:posOffset>761365</wp:posOffset>
                </wp:positionV>
                <wp:extent cx="1280160" cy="100330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59.5pt;margin-top:59.9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3253105</wp:posOffset>
                </wp:positionH>
                <wp:positionV relativeFrom="paragraph">
                  <wp:posOffset>444500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56.14999999999998pt;margin-top:35.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92100" distB="363220" distL="0" distR="0" simplePos="0" relativeHeight="125829381" behindDoc="0" locked="0" layoutInCell="1" allowOverlap="1">
                <wp:simplePos x="0" y="0"/>
                <wp:positionH relativeFrom="page">
                  <wp:posOffset>6005195</wp:posOffset>
                </wp:positionH>
                <wp:positionV relativeFrom="paragraph">
                  <wp:posOffset>292100</wp:posOffset>
                </wp:positionV>
                <wp:extent cx="1179830" cy="22225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983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И.А. Смышляева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72.85000000000002pt;margin-top:23.pt;width:92.900000000000006pt;height:17.5pt;z-index:-125829372;mso-wrap-distance-left:0;mso-wrap-distance-top:23.pt;mso-wrap-distance-right:0;mso-wrap-distance-bottom:28.6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И.А. Смышляева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Смышляева Ирина Александровна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00E6EDDECE</w:t>
      </w:r>
      <w:r>
        <w:rPr>
          <w:rStyle w:val="CharStyle19"/>
          <w:color w:val="000000"/>
        </w:rPr>
        <w:t>1</w:t>
      </w:r>
      <w:r>
        <w:rPr>
          <w:rStyle w:val="CharStyle19"/>
          <w:lang w:val="en-US" w:eastAsia="en-US"/>
        </w:rPr>
        <w:t>0D9F4FEA8F0733DF1</w:t>
      </w:r>
      <w:r>
        <w:rPr>
          <w:rStyle w:val="CharStyle19"/>
          <w:color w:val="292929"/>
        </w:rPr>
        <w:t>С2В</w:t>
      </w:r>
      <w:r>
        <w:rPr>
          <w:rStyle w:val="CharStyle19"/>
        </w:rPr>
        <w:t>1</w:t>
      </w:r>
      <w:r>
        <w:rPr>
          <w:rStyle w:val="CharStyle19"/>
          <w:color w:val="5D5D5D"/>
        </w:rPr>
        <w:t>8</w:t>
      </w:r>
      <w:r>
        <w:rPr>
          <w:rStyle w:val="CharStyle19"/>
          <w:color w:val="5D5D5D"/>
        </w:rPr>
        <w:t>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Действителен с 03.02.2026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29.04.2027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9" w:right="536" w:bottom="256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363220" distL="0" distR="0" simplePos="0" relativeHeight="125829383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0</wp:posOffset>
                </wp:positionV>
                <wp:extent cx="1203960" cy="22225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396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7.899999999999999pt;margin-top:0;width:94.799999999999997pt;height:17.5pt;z-index:-125829370;mso-wrap-distance-left:0;mso-wrap-distance-right:0;mso-wrap-distance-bottom:28.6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0480" distB="0" distL="0" distR="1786255" simplePos="0" relativeHeight="125829385" behindDoc="0" locked="0" layoutInCell="1" allowOverlap="1">
            <wp:simplePos x="0" y="0"/>
            <wp:positionH relativeFrom="page">
              <wp:posOffset>2835275</wp:posOffset>
            </wp:positionH>
            <wp:positionV relativeFrom="paragraph">
              <wp:posOffset>30480</wp:posOffset>
            </wp:positionV>
            <wp:extent cx="353695" cy="554990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3295650</wp:posOffset>
                </wp:positionH>
                <wp:positionV relativeFrom="paragraph">
                  <wp:posOffset>469265</wp:posOffset>
                </wp:positionV>
                <wp:extent cx="1280160" cy="10033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59.5pt;margin-top:36.95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3253105</wp:posOffset>
                </wp:positionH>
                <wp:positionV relativeFrom="paragraph">
                  <wp:posOffset>152400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56.14999999999998pt;margin-top:12.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63220" distL="0" distR="0" simplePos="0" relativeHeight="125829386" behindDoc="0" locked="0" layoutInCell="1" allowOverlap="1">
                <wp:simplePos x="0" y="0"/>
                <wp:positionH relativeFrom="page">
                  <wp:posOffset>6045200</wp:posOffset>
                </wp:positionH>
                <wp:positionV relativeFrom="paragraph">
                  <wp:posOffset>0</wp:posOffset>
                </wp:positionV>
                <wp:extent cx="1139825" cy="22225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982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Е.А. Косоногова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76.pt;margin-top:0;width:89.75pt;height:17.5pt;z-index:-125829367;mso-wrap-distance-left:0;mso-wrap-distance-right:0;mso-wrap-distance-bottom:28.6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Е.А. Косоногова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2835910</wp:posOffset>
            </wp:positionH>
            <wp:positionV relativeFrom="paragraph">
              <wp:posOffset>389890</wp:posOffset>
            </wp:positionV>
            <wp:extent cx="353695" cy="43307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3253740</wp:posOffset>
                </wp:positionH>
                <wp:positionV relativeFrom="paragraph">
                  <wp:posOffset>511810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56.19999999999999pt;margin-top:40.300000000000004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Косоногова Елизавета Александровна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00BAF880A1EE128ABAE34C02D439052405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19"/>
        </w:rPr>
        <w:t xml:space="preserve">Действителен с 03.02.2026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29.04.2027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1620" w:right="0" w:firstLine="0"/>
        <w:jc w:val="left"/>
      </w:pPr>
      <w:r>
        <w:rPr>
          <w:rStyle w:val="CharStyle11"/>
        </w:rPr>
        <w:t>К.Д. Николаева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Николаева Кристина Денисовна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0E3FB539C743D64F116C65D104609AA4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19"/>
        </w:rPr>
        <w:t xml:space="preserve">Действителен с 03.02.2026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29.04.2027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9" w:right="536" w:bottom="111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10022840</wp:posOffset>
              </wp:positionV>
              <wp:extent cx="652145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2026-2681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100000000000001pt;margin-top:789.20000000000005pt;width:51.3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2026-2681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52145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2026-2681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775.70000000000005pt;width:51.3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2026-2681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6298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A6298"/>
      <w:sz w:val="19"/>
      <w:szCs w:val="19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Picture caption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Heading #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character" w:customStyle="1" w:styleId="CharStyle24">
    <w:name w:val="Body text (5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6298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2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A6298"/>
      <w:sz w:val="19"/>
      <w:szCs w:val="19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spacing w:after="4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3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Постановление Правительства РФ от 19.04.2021 N 620(ред. от 12.09.2023)"О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нужд"</dc:title>
  <dc:subject/>
  <dc:creator/>
  <cp:keywords/>
</cp:coreProperties>
</file>