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Адрес места нахождения: г.Томск, пр-кт. Ленина, 111</w:t>
        <w:br/>
        <w:t>Почтовый адрес: 634069, г.Томск, пр-кт. Ленина, 111</w:t>
        <w:br/>
        <w:t>тел. (3822) 51-50-61, факс (3822) 51-29-80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3"/>
          <w:lang w:val="en-US" w:eastAsia="en-US"/>
        </w:rPr>
        <w:t>to70@fas.gov.ru</w:t>
      </w:r>
      <w:r>
        <w:fldChar w:fldCharType="end"/>
      </w:r>
    </w:p>
    <w:p>
      <w:pPr>
        <w:pStyle w:val="Style7"/>
        <w:keepNext w:val="0"/>
        <w:keepLines w:val="0"/>
        <w:framePr w:w="3821" w:h="2695" w:wrap="none" w:hAnchor="page" w:x="1302" w:y="1122"/>
        <w:widowControl w:val="0"/>
        <w:shd w:val="clear" w:color="auto" w:fill="auto"/>
        <w:tabs>
          <w:tab w:pos="1834" w:val="left"/>
        </w:tabs>
        <w:bidi w:val="0"/>
        <w:spacing w:before="0"/>
        <w:ind w:right="0"/>
        <w:jc w:val="left"/>
        <w:rPr>
          <w:sz w:val="8"/>
          <w:szCs w:val="8"/>
        </w:rPr>
      </w:pPr>
      <w:r>
        <w:rPr>
          <w:rStyle w:val="CharStyle8"/>
          <w:b/>
          <w:bCs/>
        </w:rPr>
        <w:t>штамп регистрации</w:t>
        <w:tab/>
      </w:r>
      <w:r>
        <w:rPr>
          <w:rStyle w:val="CharStyle8"/>
          <w:smallCaps/>
          <w:color w:val="4061A9"/>
          <w:sz w:val="8"/>
          <w:szCs w:val="8"/>
        </w:rPr>
        <w:t>аг</w:t>
      </w:r>
    </w:p>
    <w:p>
      <w:pPr>
        <w:pStyle w:val="Style2"/>
        <w:keepNext w:val="0"/>
        <w:keepLines w:val="0"/>
        <w:framePr w:w="4066" w:h="235" w:wrap="none" w:hAnchor="page" w:x="1139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sz w:val="15"/>
          <w:szCs w:val="15"/>
        </w:rPr>
        <w:t xml:space="preserve">На№  ОТ</w:t>
      </w:r>
    </w:p>
    <w:p>
      <w:pPr>
        <w:pStyle w:val="Style11"/>
        <w:keepNext w:val="0"/>
        <w:keepLines w:val="0"/>
        <w:framePr w:w="936" w:h="295" w:wrap="none" w:hAnchor="page" w:x="1211" w:y="4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framePr w:w="2820" w:h="329" w:wrap="none" w:hAnchor="page" w:x="2406" w:y="4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по делу №070/06/105-</w:t>
      </w:r>
    </w:p>
    <w:p>
      <w:pPr>
        <w:pStyle w:val="Style11"/>
        <w:keepNext w:val="0"/>
        <w:keepLines w:val="0"/>
        <w:framePr w:w="950" w:h="295" w:wrap="none" w:hAnchor="page" w:x="1211" w:y="5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410/2026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ОБЩЕСТВО С ОГРАНИЧЕННОЙ ОТВЕТСТВЕННОСТЬЮ "ИНПРОЕКТ" 198097, Г.САНКТ-ПЕТЕРБУРГ, УЛ.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ТРЕФОЛЕВА, Д. 2, ЛИТЕРА Р,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 xml:space="preserve">ПОМЕЩ. 2Н, 3Н </w:t>
      </w:r>
      <w:r>
        <w:fldChar w:fldCharType="begin"/>
      </w:r>
      <w:r>
        <w:rPr/>
        <w:instrText> HYPERLINK "mailto:inproyekt@bk.ru" </w:instrText>
      </w:r>
      <w:r>
        <w:fldChar w:fldCharType="separate"/>
      </w:r>
      <w:r>
        <w:rPr>
          <w:rStyle w:val="CharStyle14"/>
          <w:lang w:val="en-US" w:eastAsia="en-US"/>
        </w:rPr>
        <w:t>inproyekt@bk.ru</w:t>
      </w:r>
      <w:r>
        <w:fldChar w:fldCharType="end"/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ОГБУЗ "ГКБ № 1"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634040, Томская область, г. Томск, ул.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Бела Куна, дом 3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"mailto:A.A.Kononova@yandex.ru" </w:instrText>
      </w:r>
      <w:r>
        <w:fldChar w:fldCharType="separate"/>
      </w:r>
      <w:r>
        <w:rPr>
          <w:rStyle w:val="CharStyle14"/>
          <w:lang w:val="en-US" w:eastAsia="en-US"/>
        </w:rPr>
        <w:t>A.A.Kononova@yandex.ru</w:t>
      </w:r>
      <w:r>
        <w:fldChar w:fldCharType="end"/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ОГКУ "Центр государственных закупок" Томской области 634034, Томская область, г. Томск, ул.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Нахимова, д 8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"mailto:centrgz@cgz.tomsk.gov.ru" </w:instrText>
      </w:r>
      <w:r>
        <w:fldChar w:fldCharType="separate"/>
      </w:r>
      <w:r>
        <w:rPr>
          <w:rStyle w:val="CharStyle14"/>
          <w:lang w:val="en-US" w:eastAsia="en-US"/>
        </w:rPr>
        <w:t>centrgz@cgz.tomsk.gov.ru</w:t>
      </w:r>
      <w:r>
        <w:fldChar w:fldCharType="end"/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"РТС-тендер"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121151, г. Москва, наб. Тараса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Шевченко, д. 23А, 25 этаж, помещение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1</w:t>
      </w:r>
    </w:p>
    <w:p>
      <w:pPr>
        <w:pStyle w:val="Style13"/>
        <w:keepNext w:val="0"/>
        <w:keepLines w:val="0"/>
        <w:framePr w:w="4874" w:h="7450" w:wrap="none" w:hAnchor="page" w:x="6405" w:y="889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1783715</wp:posOffset>
            </wp:positionH>
            <wp:positionV relativeFrom="margin">
              <wp:posOffset>0</wp:posOffset>
            </wp:positionV>
            <wp:extent cx="51816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571" w:bottom="1221" w:left="102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52" w:right="0" w:bottom="13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по делу №070/06/105-410/2026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6541135</wp:posOffset>
                </wp:positionH>
                <wp:positionV relativeFrom="paragraph">
                  <wp:posOffset>12700</wp:posOffset>
                </wp:positionV>
                <wp:extent cx="63690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5.04999999999995pt;margin-top:1.pt;width:50.14999999999999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14.05.2026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4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России,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125" w:val="left"/>
        </w:tabs>
        <w:bidi w:val="0"/>
        <w:spacing w:before="0" w:after="320" w:line="240" w:lineRule="auto"/>
        <w:ind w:left="0" w:right="0" w:firstLine="72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254000</wp:posOffset>
                </wp:positionV>
                <wp:extent cx="1365250" cy="42037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членов комиссии:</w:t>
                              <w:br/>
                              <w:t>Б.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25pt;margin-top:20.pt;width:107.5pt;height:33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членов комиссии:</w:t>
                        <w:br/>
                        <w:t>Б.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4"/>
        </w:rPr>
        <w:t>С.</w:t>
        <w:tab/>
        <w:t>- заместителя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20" w:right="0" w:firstLine="60"/>
        <w:jc w:val="left"/>
      </w:pPr>
      <w:r>
        <w:rPr>
          <w:rStyle w:val="CharStyle14"/>
        </w:rPr>
        <w:t>- ведущего специалиста-эксперта отдела контроля органов власти и торгов;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hanging="1680"/>
        <w:jc w:val="both"/>
      </w:pPr>
      <w:r>
        <w:rPr>
          <w:rStyle w:val="CharStyle14"/>
        </w:rPr>
        <w:t xml:space="preserve">С.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специалиста-эксперта отдела контроля органов власти и 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жалобу ООО «ИНПРОЕКТ»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(вх. </w:t>
      </w:r>
      <w:r>
        <w:rPr>
          <w:rStyle w:val="CharStyle14"/>
          <w:lang w:val="en-US" w:eastAsia="en-US"/>
        </w:rPr>
        <w:t xml:space="preserve">№3718/26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08.05.2026) </w:t>
      </w:r>
      <w:r>
        <w:rPr>
          <w:rStyle w:val="CharStyle14"/>
        </w:rPr>
        <w:t xml:space="preserve">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>№0865200000326000560) 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 xml:space="preserve">при участии посредством ВКС представителя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П. (доверенность </w:t>
      </w:r>
      <w:r>
        <w:rPr>
          <w:rStyle w:val="CharStyle14"/>
          <w:lang w:val="en-US" w:eastAsia="en-US"/>
        </w:rPr>
        <w:t xml:space="preserve">№50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29.10.2025), </w:t>
      </w:r>
      <w:r>
        <w:rPr>
          <w:rStyle w:val="CharStyle14"/>
        </w:rPr>
        <w:t xml:space="preserve">Ш. (доверенность </w:t>
      </w:r>
      <w:r>
        <w:rPr>
          <w:rStyle w:val="CharStyle14"/>
          <w:lang w:val="en-US" w:eastAsia="en-US"/>
        </w:rPr>
        <w:t xml:space="preserve">№25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13.05.2026), </w:t>
      </w:r>
      <w:r>
        <w:rPr>
          <w:rStyle w:val="CharStyle14"/>
        </w:rPr>
        <w:t xml:space="preserve">при участии посредством ВКС представителя Уполномоченного органа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В. (доверенность </w:t>
      </w:r>
      <w:r>
        <w:rPr>
          <w:rStyle w:val="CharStyle14"/>
          <w:lang w:val="en-US" w:eastAsia="en-US"/>
        </w:rPr>
        <w:t xml:space="preserve">№12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26.12.2025), </w:t>
      </w:r>
      <w:r>
        <w:rPr>
          <w:rStyle w:val="CharStyle14"/>
        </w:rPr>
        <w:t xml:space="preserve">А. (доверенность </w:t>
      </w:r>
      <w:r>
        <w:rPr>
          <w:rStyle w:val="CharStyle14"/>
          <w:lang w:val="en-US" w:eastAsia="en-US"/>
        </w:rPr>
        <w:t xml:space="preserve">№4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26.12.2025), </w:t>
      </w:r>
      <w:r>
        <w:rPr>
          <w:rStyle w:val="CharStyle14"/>
        </w:rPr>
        <w:t xml:space="preserve">при участии посредством ВКС представителя Заявителя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Н.(доверенность </w:t>
      </w:r>
      <w:r>
        <w:rPr>
          <w:rStyle w:val="CharStyle14"/>
          <w:lang w:val="en-US" w:eastAsia="en-US"/>
        </w:rPr>
        <w:t xml:space="preserve">№01-1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12.05.2026),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Томское УФАС России обратился Заявитель с жалобой, поданной в срок и соответствующей статье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 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№0865200000326000560), </w:t>
      </w:r>
      <w:r>
        <w:rPr>
          <w:rStyle w:val="CharStyle14"/>
        </w:rPr>
        <w:t>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Исходя из доводов жалобы Заявителя, Заказчиком описание объекта закупки осуществлено не в соответствии с КТРУ, описанию объекта закупки соответствует товар единственного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не согласен с доводами жалобы, просит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 и осуществления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внеплановой проверки, Комиссия Томского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</w:t>
      </w:r>
      <w:r>
        <w:rPr>
          <w:rStyle w:val="CharStyle14"/>
          <w:lang w:val="en-US" w:eastAsia="en-US"/>
        </w:rPr>
        <w:t xml:space="preserve">№0865200000326000560 </w:t>
      </w:r>
      <w:r>
        <w:rPr>
          <w:rStyle w:val="CharStyle14"/>
        </w:rPr>
        <w:t xml:space="preserve">о проведении закупки размещено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сайт, ЕИС) </w:t>
      </w:r>
      <w:r>
        <w:rPr>
          <w:rStyle w:val="CharStyle14"/>
          <w:lang w:val="en-US" w:eastAsia="en-US"/>
        </w:rPr>
        <w:t xml:space="preserve">29.04.2026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- 14 000 000,00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Предмет закупки: 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 xml:space="preserve">На участие в аукционе подана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заявки (из них соответствует требованиям: </w:t>
      </w:r>
      <w:r>
        <w:rPr>
          <w:rStyle w:val="CharStyle14"/>
          <w:lang w:val="en-US" w:eastAsia="en-US"/>
        </w:rPr>
        <w:t>1;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отклонено: </w:t>
      </w:r>
      <w:r>
        <w:rPr>
          <w:rStyle w:val="CharStyle14"/>
          <w:lang w:val="en-US" w:eastAsia="en-US"/>
        </w:rPr>
        <w:t>1) 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момент рассмотрения жалобы контракт не заключен.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 xml:space="preserve">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Таким образом, право подачи жалобы в контрольный орган в сфере закупок в порядке, установленном главой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Закона, предоставлено участнику закупки при условии, если обжалуемые действия (бездействие) субъекта контроля нарушают права и законные интересы такого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системе, извещение об осуществлении закупки, если иное не предусмотрено настоящим Федеральным законом, должно содержать электронный документ, содержащий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Правила описания объекта закупки определены в статье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а также подзаконными актами, разработанными в целях реализации данной нормы.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подпункта «б»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допускается использование в описании объекта закупки указания на товарный знак в случае несовместимости товаров, на которые размещаются другие товарные знаки, и необходимость обеспечения взаимодействия таких товаров с товарами, используемыми заказчиком.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 содержания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следует, что Заказчики должны использовать при составлении описания объекта закупки показатели, требования, условные обозначения и терминологию,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при описании являющегося объектом закупки товара, в отношении которого Правительством Российской Федерации установлены запрет, ограничение или преимущество, указываются характеристики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предусмотрено, что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Исходя из толкования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При этом, объект закупки должен быть сформирован таким образом, чтобы совокупности характеристик товаров соответствовало несколько производителей, в том числе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товар российского происхождения (при применении национального режима), при этом товар отвечал требованиям извещения об осуществлении закупки, иное не будет отвечать совокупности требований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Указанная позиция изложена в письме ФАС России от </w:t>
      </w:r>
      <w:r>
        <w:rPr>
          <w:rStyle w:val="CharStyle14"/>
          <w:lang w:val="en-US" w:eastAsia="en-US"/>
        </w:rPr>
        <w:t>21.03.2025 №28/26176/25.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52" w:right="529" w:bottom="1306" w:left="106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Исходя из требований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использования) утверждены постановлением Правительства РФ от </w:t>
      </w:r>
      <w:r>
        <w:rPr>
          <w:rStyle w:val="CharStyle14"/>
          <w:lang w:val="en-US" w:eastAsia="en-US"/>
        </w:rPr>
        <w:t>08.02.2017 №145.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закрепляет,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«и»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№145, </w:t>
      </w:r>
      <w:r>
        <w:rPr>
          <w:rStyle w:val="CharStyle14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695" w:right="540" w:bottom="836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которые </w:t>
      </w:r>
      <w:r>
        <w:rPr>
          <w:rStyle w:val="CharStyle14"/>
          <w:sz w:val="24"/>
          <w:szCs w:val="24"/>
          <w:lang w:val="en-US" w:eastAsia="en-US"/>
        </w:rPr>
        <w:t>2026-3352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не предусмотрены в позиции каталога, за исключением случаев: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4"/>
          <w:lang w:val="en-US" w:eastAsia="en-US"/>
        </w:rPr>
        <w:t xml:space="preserve">25, 26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постановлению Правительства Российской Федерации от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2024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№1875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№1875), </w:t>
      </w:r>
      <w:r>
        <w:rPr>
          <w:rStyle w:val="CharStyle14"/>
        </w:rPr>
        <w:t xml:space="preserve">позициях </w:t>
      </w:r>
      <w:r>
        <w:rPr>
          <w:rStyle w:val="CharStyle14"/>
          <w:lang w:val="en-US" w:eastAsia="en-US"/>
        </w:rPr>
        <w:t xml:space="preserve">191 - 361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№2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№1875, </w:t>
      </w:r>
      <w:r>
        <w:rPr>
          <w:rStyle w:val="CharStyle14"/>
        </w:rPr>
        <w:t xml:space="preserve">применяются предусмотренные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№1875 </w:t>
      </w:r>
      <w:r>
        <w:rPr>
          <w:rStyle w:val="CharStyle14"/>
        </w:rPr>
        <w:t>запрет, ограничение соответственно;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 установлено, что в случае предоставления дополнительной информации, предусмотренной п.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75 </w:t>
      </w:r>
      <w:r>
        <w:rPr>
          <w:rStyle w:val="CharStyle14"/>
        </w:rPr>
        <w:t>Закона о контрактной системе соответственно.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Следовательно Заказчик самостоятельно определяет код позиции КТРУ, путём соотнесения объекта закупки к соответствующим кодам и наименованиям позиций КТРУ, как наиболее подходящим с учётом специфики закупки, области применения закупаемого товара (работы, услуги), а также его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структурированной форме извещения, Заказчику требуется к поставке система рентгеновская диагностическая стационарная общего назначения, цифровая, описание объекта закупки осуществлено по ОКПД2 </w:t>
      </w:r>
      <w:r>
        <w:rPr>
          <w:rStyle w:val="CharStyle14"/>
          <w:lang w:val="en-US" w:eastAsia="en-US"/>
        </w:rPr>
        <w:t>26.60.11.113.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Заявителем в доводах жалобы указывается на неправомерный обход КТРУ и неприменение позиции КТРУ </w:t>
      </w:r>
      <w:r>
        <w:rPr>
          <w:rStyle w:val="CharStyle14"/>
          <w:lang w:val="en-US" w:eastAsia="en-US"/>
        </w:rPr>
        <w:t>26.60.11.113-00000097.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40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Представители Заказчика пояснили, что потребность Заказчика в приобретении медицинского оборудования с конкретными характеристиками определятся особенностями (спецификой) деятельности заказчика: в условиях работы поликлиники смешанного типа (приём как взрослого населения, так и детей), важно высокое качество снимков и низкая доза облучения, т.к. при проведении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рентгеновской диагностики важно не пропустить ранние стадии заболеваний и их развитие без переоблучения населения. Проводя рентгенологическое обследование на современных сканирующих аппаратах, снижается вероятность ошибки и сокращается время при описании снимков, вовремя перенаправляя пациента в профильные учреждения для дальнейшего обследования.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связи с этим, Заказчику требуется не просто рентгеновский аппарат, а система рентгеновская диагностическая стационарная. Преимущество сканирующего ЦПРИ заключается в высокой диагностической ценности получаемых цифровых рентгеновских изображений при одновременном снижении дозовых нагрузок на пациентов при обследовании. По сравнению с плоскопанельным детектором, в сканирующих ЦПРИ выше качество изображения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пространственное разрешение, контрастная чувствительность, динамический диапазон, и ниже дозовые нагрузки: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Пространственное разрешение сканирующих ЦПРИ </w:t>
      </w:r>
      <w:r>
        <w:rPr>
          <w:rStyle w:val="CharStyle14"/>
          <w:lang w:val="en-US" w:eastAsia="en-US"/>
        </w:rPr>
        <w:t xml:space="preserve">4-7 </w:t>
      </w:r>
      <w:r>
        <w:rPr>
          <w:rStyle w:val="CharStyle14"/>
        </w:rPr>
        <w:t xml:space="preserve">пар линий на мм, против </w:t>
      </w:r>
      <w:r>
        <w:rPr>
          <w:rStyle w:val="CharStyle14"/>
          <w:lang w:val="en-US" w:eastAsia="en-US"/>
        </w:rPr>
        <w:t xml:space="preserve">3,6 </w:t>
      </w:r>
      <w:r>
        <w:rPr>
          <w:rStyle w:val="CharStyle14"/>
        </w:rPr>
        <w:t>для плоскопанельных детекторов.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Пороговая контрастная чувствительность сканирующих ЦПРИ на уровне </w:t>
      </w:r>
      <w:r>
        <w:rPr>
          <w:rStyle w:val="CharStyle14"/>
          <w:lang w:val="en-US" w:eastAsia="en-US"/>
        </w:rPr>
        <w:t xml:space="preserve">0,5%, </w:t>
      </w:r>
      <w:r>
        <w:rPr>
          <w:rStyle w:val="CharStyle14"/>
        </w:rPr>
        <w:t xml:space="preserve">против </w:t>
      </w:r>
      <w:r>
        <w:rPr>
          <w:rStyle w:val="CharStyle14"/>
          <w:lang w:val="en-US" w:eastAsia="en-US"/>
        </w:rPr>
        <w:t xml:space="preserve">1-1,5% </w:t>
      </w:r>
      <w:r>
        <w:rPr>
          <w:rStyle w:val="CharStyle14"/>
        </w:rPr>
        <w:t>для систем на основе плоскопанельного детектора.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Динамический диапазон в системах регистрации со сканирующим ЦПРИ более </w:t>
      </w:r>
      <w:r>
        <w:rPr>
          <w:rStyle w:val="CharStyle14"/>
          <w:lang w:val="en-US" w:eastAsia="en-US"/>
        </w:rPr>
        <w:t xml:space="preserve">1000 </w:t>
      </w:r>
      <w:r>
        <w:rPr>
          <w:rStyle w:val="CharStyle14"/>
        </w:rPr>
        <w:t xml:space="preserve">отн.ед., в системах с плоскопанельным детектором </w:t>
      </w:r>
      <w:r>
        <w:rPr>
          <w:rStyle w:val="CharStyle14"/>
          <w:lang w:val="en-US" w:eastAsia="en-US"/>
        </w:rPr>
        <w:t xml:space="preserve">400 </w:t>
      </w:r>
      <w:r>
        <w:rPr>
          <w:rStyle w:val="CharStyle14"/>
        </w:rPr>
        <w:t>отн.ед.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Нормированная доза на кадр сканирующих ЦПРИ менее 0,5мкГр, против </w:t>
      </w:r>
      <w:r>
        <w:rPr>
          <w:rStyle w:val="CharStyle14"/>
          <w:lang w:val="en-US" w:eastAsia="en-US"/>
        </w:rPr>
        <w:t xml:space="preserve">4,4-8,7 </w:t>
      </w:r>
      <w:r>
        <w:rPr>
          <w:rStyle w:val="CharStyle14"/>
        </w:rPr>
        <w:t>мкГр для плоскопанельных детекторов.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представленной Заказчиком сравнительной таблице и инструкциями к товарам представленным в материалы дела, под техническое задание Заказчика подходят товары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производителей: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26.60.11-005-11857614-2017, </w:t>
      </w:r>
      <w:r>
        <w:rPr>
          <w:rStyle w:val="CharStyle14"/>
        </w:rPr>
        <w:t xml:space="preserve">вариант исполнения на два рабочих места стационарный, модель «КАРС»-РБКС2. Производитель: ООО предприятие «МЕДТЕХ», Российская Федерация (регистрационное удостоверение РЗН </w:t>
      </w:r>
      <w:r>
        <w:rPr>
          <w:rStyle w:val="CharStyle14"/>
          <w:lang w:val="en-US" w:eastAsia="en-US"/>
        </w:rPr>
        <w:t>2019/9498);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Аппарат рентгенографический линейного и углового сканирования цифровой АРСЦ-02-»Н» по ТУ </w:t>
      </w:r>
      <w:r>
        <w:rPr>
          <w:rStyle w:val="CharStyle14"/>
          <w:lang w:val="en-US" w:eastAsia="en-US"/>
        </w:rPr>
        <w:t xml:space="preserve">9442-002-07501706-2003. </w:t>
      </w:r>
      <w:r>
        <w:rPr>
          <w:rStyle w:val="CharStyle14"/>
        </w:rPr>
        <w:t xml:space="preserve">Производитель: АО «Институт прикладной физики», Российская Федерация (регистрационное удостоверение РЗН </w:t>
      </w:r>
      <w:r>
        <w:rPr>
          <w:rStyle w:val="CharStyle14"/>
          <w:lang w:val="en-US" w:eastAsia="en-US"/>
        </w:rPr>
        <w:t>2014/2199).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Так же у Заказчика имеются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коммерческих предложения от производителей и поставщиков, подтверждающих возможность поставки вышеуказанных рентгенографических аппаратов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836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Комиссией Томского УФАС было направлены запросы (исх. №ИК/2676/26 от </w:t>
      </w:r>
      <w:r>
        <w:rPr>
          <w:rStyle w:val="CharStyle14"/>
          <w:lang w:val="en-US" w:eastAsia="en-US"/>
        </w:rPr>
        <w:t xml:space="preserve">13.05.2026; </w:t>
      </w:r>
      <w:r>
        <w:rPr>
          <w:rStyle w:val="CharStyle14"/>
        </w:rPr>
        <w:t xml:space="preserve">исх. №ИК/2696/26 от </w:t>
      </w:r>
      <w:r>
        <w:rPr>
          <w:rStyle w:val="CharStyle14"/>
          <w:lang w:val="en-US" w:eastAsia="en-US"/>
        </w:rPr>
        <w:t xml:space="preserve">13.05.2026) </w:t>
      </w:r>
      <w:r>
        <w:rPr>
          <w:rStyle w:val="CharStyle14"/>
        </w:rPr>
        <w:t xml:space="preserve">о возможности поставки следующих медицинских изделий: «аппарат рентгенографический линейного и углового сканирования цифровой АРСЦ-02-»Н» и «аппарат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26.60.11-005-11857614-2017». </w:t>
      </w:r>
      <w:r>
        <w:rPr>
          <w:rStyle w:val="CharStyle14"/>
        </w:rPr>
        <w:t xml:space="preserve">В ответ на данные запросы были получены ответы от ООО «ОНД» (исх. №0429-К от </w:t>
      </w:r>
      <w:r>
        <w:rPr>
          <w:rStyle w:val="CharStyle14"/>
          <w:lang w:val="en-US" w:eastAsia="en-US"/>
        </w:rPr>
        <w:t xml:space="preserve">29.04.2026), </w:t>
      </w:r>
      <w:r>
        <w:rPr>
          <w:rStyle w:val="CharStyle14"/>
        </w:rPr>
        <w:t xml:space="preserve">являющегося производителем аппарата рентгенографический линейного и углового </w:t>
      </w:r>
      <w:r>
        <w:rPr>
          <w:rStyle w:val="CharStyle14"/>
          <w:sz w:val="24"/>
          <w:szCs w:val="24"/>
          <w:lang w:val="en-US" w:eastAsia="en-US"/>
        </w:rPr>
        <w:t>2026-3352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сканирования цифровой АРСЦ-02-»Н», а также от поставщика данного аппарата ООО «ПРОФАРМ» (исх. </w:t>
      </w:r>
      <w:r>
        <w:rPr>
          <w:rStyle w:val="CharStyle14"/>
          <w:lang w:val="en-US" w:eastAsia="en-US"/>
        </w:rPr>
        <w:t xml:space="preserve">№25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14.05.2026), </w:t>
      </w:r>
      <w:r>
        <w:rPr>
          <w:rStyle w:val="CharStyle14"/>
        </w:rPr>
        <w:t>в которых указана возможность поставки аппарата с учетом требований технического задания.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Комиссией Управления установлено, что закупка товара, являющегося объектом закупки осуществляется посредством предоставления субсидии на приобретению рентгенологического аппарата.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Показателем, необходимым для достижения результата предоставления субсидии является приобретение медицинского оборудования согласно Приложению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Соглашению №36ц от </w:t>
      </w:r>
      <w:r>
        <w:rPr>
          <w:rStyle w:val="CharStyle14"/>
          <w:lang w:val="en-US" w:eastAsia="en-US"/>
        </w:rPr>
        <w:t>06.03.2026.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Согласно порядковому номеру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перечня Приложения </w:t>
      </w:r>
      <w:r>
        <w:rPr>
          <w:rStyle w:val="CharStyle14"/>
          <w:lang w:val="en-US" w:eastAsia="en-US"/>
        </w:rPr>
        <w:t xml:space="preserve">№1 </w:t>
      </w:r>
      <w:r>
        <w:rPr>
          <w:rStyle w:val="CharStyle14"/>
        </w:rPr>
        <w:t xml:space="preserve">к Соглашению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36ц от </w:t>
      </w:r>
      <w:r>
        <w:rPr>
          <w:rStyle w:val="CharStyle14"/>
          <w:lang w:val="en-US" w:eastAsia="en-US"/>
        </w:rPr>
        <w:t xml:space="preserve">06.03.2026 </w:t>
      </w:r>
      <w:r>
        <w:rPr>
          <w:rStyle w:val="CharStyle14"/>
        </w:rPr>
        <w:t xml:space="preserve">ОГБУЗ «Городская клиническая больница </w:t>
      </w:r>
      <w:r>
        <w:rPr>
          <w:rStyle w:val="CharStyle14"/>
          <w:lang w:val="en-US" w:eastAsia="en-US"/>
        </w:rPr>
        <w:t xml:space="preserve">№1» </w:t>
      </w:r>
      <w:r>
        <w:rPr>
          <w:rStyle w:val="CharStyle14"/>
        </w:rPr>
        <w:t xml:space="preserve">обязано закупить «Аппарат рентгенографический цифровой малодозовый «КАРС» по ТУ </w:t>
      </w:r>
      <w:r>
        <w:rPr>
          <w:rStyle w:val="CharStyle14"/>
          <w:lang w:val="en-US" w:eastAsia="en-US"/>
        </w:rPr>
        <w:t xml:space="preserve">26.60.11- 005-11857614-2017», </w:t>
      </w:r>
      <w:r>
        <w:rPr>
          <w:rStyle w:val="CharStyle14"/>
        </w:rPr>
        <w:t>вариант исполнения на два рабочих места стационарный, модель «КАРС»-РБКС2 с мобильным столом» (или аналог).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Предоставление указанных субсидий осуществляется согласно 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78.2 </w:t>
      </w:r>
      <w:r>
        <w:rPr>
          <w:rStyle w:val="CharStyle14"/>
        </w:rPr>
        <w:t>БК РФ в соответствии с соглашением о предоставлении, которое в т.ч. предусматривает цель предоставления субсидии и ее объем, положения, устанавливающие права и обязанности сторон соглашения о предоставлении субсидии и порядок их взаимосвязи при реализации указанного соглашения.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 соглашении в соответствии с частью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78.2 </w:t>
      </w:r>
      <w:r>
        <w:rPr>
          <w:rStyle w:val="CharStyle14"/>
        </w:rPr>
        <w:t>БК РФ предусматривается право получателя бюджетных средств, предоставляющего субсидию, на проведение проверок соблюдения бюджетным учреждением условий, установленных соглашением о предоставлении субсидии, а также порядок возврата сумм, использованных бюджетным учреждением в случае установления по результатам проверок фактов нарушения этим учреждением целей и условий, определенных соглашением о предоставлении субсидии.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Кроме того, целью закупки является обеспечение оказания гражданам медицинской помощи </w:t>
      </w:r>
      <w:r>
        <w:rPr>
          <w:rStyle w:val="CharStyle14"/>
          <w:u w:val="single"/>
        </w:rPr>
        <w:t>высокого</w:t>
      </w:r>
      <w:r>
        <w:rPr>
          <w:rStyle w:val="CharStyle14"/>
        </w:rPr>
        <w:t xml:space="preserve"> качества, а не обеспечение максимального количества потенциальных участников закупки при соблюдении требований законодательства. С учетом многолетней практики медицинского учреждения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данные требования является исключительной потребностью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Исходя из вышеизложенного Комиссии Томского УФАС России приходит к выводу, что действия Заказчика не противоречат требованиям Закона о контрактной системе, а также соответствует потребности Заказчика с учетом специфики проводимых медицинских исследований.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5" w:bottom="126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Закона о контрактной системе </w:t>
      </w:r>
      <w:r>
        <w:rPr>
          <w:rStyle w:val="CharStyle14"/>
          <w:u w:val="single"/>
        </w:rPr>
        <w:t>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</w:t>
      </w:r>
      <w:r>
        <w:rPr>
          <w:rStyle w:val="CharStyle14"/>
        </w:rPr>
        <w:t xml:space="preserve">. При этом, в зависимости от своих потребностей Заказчик в описании объекта закупки должен установить требования, в том числе к качеству, техническим характеристикам (потребительским свойствам) </w:t>
      </w:r>
      <w:r>
        <w:rPr>
          <w:rStyle w:val="CharStyle14"/>
          <w:u w:val="single"/>
        </w:rPr>
        <w:t>с учетом специфики его деятельности</w:t>
      </w:r>
      <w:r>
        <w:rPr>
          <w:rStyle w:val="CharStyle14"/>
        </w:rPr>
        <w:t>, при соблюдении установленных законодательством Российской Федерации положений, направленных на обеспечение конкуренции при проведении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связи с указанным,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функций. При этом, Заказчик вправе в необходимой степени детализировать предмет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Исходя из толкования положений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u w:val="single"/>
        </w:rPr>
        <w:t>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</w:t>
      </w:r>
      <w:r>
        <w:rPr>
          <w:rStyle w:val="CharStyle14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u w:val="single"/>
        </w:rPr>
        <w:t xml:space="preserve">Аналогичная правовая позиция отражена в судебной практике (Определение Верховного Суда РФ от </w:t>
      </w:r>
      <w:r>
        <w:rPr>
          <w:rStyle w:val="CharStyle14"/>
          <w:u w:val="single"/>
          <w:lang w:val="en-US" w:eastAsia="en-US"/>
        </w:rPr>
        <w:t xml:space="preserve">30.12.2021 № </w:t>
      </w:r>
      <w:r>
        <w:rPr>
          <w:rStyle w:val="CharStyle14"/>
          <w:u w:val="single"/>
        </w:rPr>
        <w:t xml:space="preserve">306-ЭС21-25954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 xml:space="preserve">А65-29493/2020, Постановление Арбитражного суда Уральского округа от </w:t>
      </w:r>
      <w:r>
        <w:rPr>
          <w:rStyle w:val="CharStyle14"/>
          <w:u w:val="single"/>
          <w:lang w:val="en-US" w:eastAsia="en-US"/>
        </w:rPr>
        <w:t xml:space="preserve">06.04.2023 № </w:t>
      </w:r>
      <w:r>
        <w:rPr>
          <w:rStyle w:val="CharStyle14"/>
          <w:u w:val="single"/>
        </w:rPr>
        <w:t xml:space="preserve">Ф09-1213/23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 xml:space="preserve">А34-12851/2021, Постановление Арбитражного суда Западно-Сибирского округа от </w:t>
      </w:r>
      <w:r>
        <w:rPr>
          <w:rStyle w:val="CharStyle14"/>
          <w:u w:val="single"/>
          <w:lang w:val="en-US" w:eastAsia="en-US"/>
        </w:rPr>
        <w:t xml:space="preserve">13.04.2023 № </w:t>
      </w:r>
      <w:r>
        <w:rPr>
          <w:rStyle w:val="CharStyle14"/>
          <w:u w:val="single"/>
        </w:rPr>
        <w:t xml:space="preserve">Ф04-1209/2023 по делу </w:t>
      </w:r>
      <w:r>
        <w:rPr>
          <w:rStyle w:val="CharStyle14"/>
          <w:u w:val="single"/>
          <w:lang w:val="en-US" w:eastAsia="en-US"/>
        </w:rPr>
        <w:t xml:space="preserve">№ </w:t>
      </w:r>
      <w:r>
        <w:rPr>
          <w:rStyle w:val="CharStyle14"/>
          <w:u w:val="single"/>
        </w:rPr>
        <w:t>А81-8369/2022).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Кроме того, Закон о контрактной системе не содержит норм, ограничивающих право Заказчика включать в описание объекта закупки требования к объекту закупки, которые являются для него значимыми, и обязывающих Заказчика устанавливать в извещении о проведении электронного аукциона,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Действующее законодательство Российской Федерации о контрактной системе в сфере закупок не содержат положений, ограничивающих возможность заказчика в самостоятельном определении кода ОКПД2 проводимых закупок. Заказчик самостоятельно определяет код ОКПД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Следовательно,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приходится, в зависимости от своих потребностей Заказчик вправе установить характеристики, которые соответствуют его нужде.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Помимо прочего, Комиссией Управления установлено, что под описание объекта закупки подходят товары двух производителей, оба из которых могут быть поставлены в рамках рассматриваемой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695" w:right="530" w:bottom="788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Кроме того, Комиссия Томского УФАС России отмечает, что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</w:t>
      </w:r>
      <w:r>
        <w:rPr>
          <w:rStyle w:val="CharStyle14"/>
          <w:sz w:val="24"/>
          <w:szCs w:val="24"/>
          <w:lang w:val="en-US" w:eastAsia="en-US"/>
        </w:rPr>
        <w:t>2026-3352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заказчиком прав этих лиц, а также об ограничении заказчиком числа участников закупки. Заявитель как податель жалобы в антимонопольный орган и лицо, участвующее в деле, обязан вместе с жалобой представить соответствующие его позиции доказательства, подтверждающие или опровергающие оспариваемые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 xml:space="preserve">Принимая во внимание вышеизложенное, и руководствуясь статьей </w:t>
      </w:r>
      <w:r>
        <w:rPr>
          <w:rStyle w:val="CharStyle14"/>
          <w:lang w:val="en-US" w:eastAsia="en-US"/>
        </w:rPr>
        <w:t xml:space="preserve">14,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49,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105, </w:t>
      </w: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44-ФЗ, Комиссия Томского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Признать жалобу ООО «ИНПРОЕКТ» (вх. </w:t>
      </w:r>
      <w:r>
        <w:rPr>
          <w:rStyle w:val="CharStyle14"/>
          <w:lang w:val="en-US" w:eastAsia="en-US"/>
        </w:rPr>
        <w:t xml:space="preserve">№3718/26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08.05.2026) </w:t>
      </w:r>
      <w:r>
        <w:rPr>
          <w:rStyle w:val="CharStyle14"/>
        </w:rPr>
        <w:t xml:space="preserve">на действия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действиях Заказчика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ОГБУЗ "ГКБ </w:t>
      </w:r>
      <w:r>
        <w:rPr>
          <w:rStyle w:val="CharStyle14"/>
          <w:lang w:val="en-US" w:eastAsia="en-US"/>
        </w:rPr>
        <w:t xml:space="preserve">№ 1" </w:t>
      </w:r>
      <w:r>
        <w:rPr>
          <w:rStyle w:val="CharStyle14"/>
        </w:rPr>
        <w:t xml:space="preserve">при проведении электронного аукциона «Поставка медицинского изделия (Система рентгеновская диагностическая стационарная общего назначения, цифровая), ввод в эксплуатацию медицинского изделия, обучение правилам эксплуатации специалистов, эксплуатирующих медицинское изделие» (извещение </w:t>
      </w:r>
      <w:r>
        <w:rPr>
          <w:rStyle w:val="CharStyle14"/>
          <w:lang w:val="en-US" w:eastAsia="en-US"/>
        </w:rPr>
        <w:t xml:space="preserve">№0865200000326000560) </w:t>
      </w:r>
      <w:r>
        <w:rPr>
          <w:rStyle w:val="CharStyle14"/>
        </w:rPr>
        <w:t>нарушений Закона о контрактной системе не установлено.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Предписание не выдавать.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9920" w:right="0" w:firstLine="0"/>
        <w:jc w:val="both"/>
      </w:pPr>
      <w:r>
        <w:rPr>
          <w:rStyle w:val="CharStyle14"/>
        </w:rPr>
        <w:t>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9920" w:right="0" w:firstLine="0"/>
        <w:jc w:val="both"/>
      </w:pPr>
      <w:r>
        <w:rPr>
          <w:rStyle w:val="CharStyle14"/>
        </w:rPr>
        <w:t>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9920" w:right="0" w:firstLine="0"/>
        <w:jc w:val="both"/>
      </w:pPr>
      <w:r>
        <w:rPr>
          <w:rStyle w:val="CharStyle14"/>
        </w:rPr>
        <w:t>С.</w:t>
      </w:r>
    </w:p>
    <w:sectPr>
      <w:footnotePr>
        <w:pos w:val="pageBottom"/>
        <w:numFmt w:val="decimal"/>
        <w:numRestart w:val="continuous"/>
      </w:footnotePr>
      <w:pgSz w:w="11900" w:h="16840"/>
      <w:pgMar w:top="1695" w:right="535" w:bottom="1695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10013315</wp:posOffset>
              </wp:positionV>
              <wp:extent cx="6489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88.45000000000005pt;width:51.10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10013315</wp:posOffset>
              </wp:positionV>
              <wp:extent cx="64897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88.45000000000005pt;width:51.100000000000001pt;height:8.4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50875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087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75.95000000000005pt;width:51.25pt;height:8.3000000000000007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10013315</wp:posOffset>
              </wp:positionV>
              <wp:extent cx="648970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2026-3352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800000000000004pt;margin-top:788.45000000000005pt;width:51.100000000000001pt;height:8.40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2026-3352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735330</wp:posOffset>
              </wp:positionV>
              <wp:extent cx="1282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7.15000000000003pt;margin-top:57.899999999999999pt;width:10.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735330</wp:posOffset>
              </wp:positionV>
              <wp:extent cx="12827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7.15000000000003pt;margin-top:57.899999999999999pt;width:10.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759460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30000000000001pt;margin-top:59.800000000000004pt;width:4.5499999999999998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3900805</wp:posOffset>
              </wp:positionH>
              <wp:positionV relativeFrom="page">
                <wp:posOffset>735330</wp:posOffset>
              </wp:positionV>
              <wp:extent cx="128270" cy="10668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7.15000000000003pt;margin-top:57.899999999999999pt;width:10.1pt;height:8.4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 w:line="252" w:lineRule="auto"/>
      <w:ind w:left="20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- 2026-05-19T184315.718.odt</dc:title><dc:subject></dc:subject><dc:creator>&#x11;018=0 #;LO=0 &#x15;235=L2=0</dc:creator><cp:keywords></cp:keywords>
</cp:coreProperties>
</file>