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9"/>
        <w:keepNext w:val="0"/>
        <w:keepLines w:val="0"/>
        <w:widowControl w:val="0"/>
        <w:shd w:val="clear" w:color="auto" w:fill="auto"/>
        <w:bidi w:val="0"/>
        <w:spacing w:before="0" w:after="0" w:line="240" w:lineRule="auto"/>
        <w:ind w:left="0" w:right="0" w:firstLine="0"/>
        <w:jc w:val="left"/>
      </w:pPr>
      <w:r>
        <w:rPr>
          <w:rStyle w:val="CharStyle10"/>
        </w:rPr>
        <w:t>ФГБУ «НМИЦК им. ак. Е.И. Чазова»</w:t>
      </w:r>
    </w:p>
    <w:p>
      <w:pPr>
        <w:pStyle w:val="Style9"/>
        <w:keepNext w:val="0"/>
        <w:keepLines w:val="0"/>
        <w:widowControl w:val="0"/>
        <w:shd w:val="clear" w:color="auto" w:fill="auto"/>
        <w:bidi w:val="0"/>
        <w:spacing w:before="0" w:after="280" w:line="240" w:lineRule="auto"/>
        <w:ind w:left="0" w:right="0" w:firstLine="0"/>
        <w:jc w:val="left"/>
      </w:pPr>
      <w:r>
        <w:rPr>
          <w:rStyle w:val="CharStyle10"/>
        </w:rPr>
        <w:t>Минздрава России</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"mailto:omts-kardio@yandex.ru" </w:instrText>
      </w:r>
      <w:r>
        <w:fldChar w:fldCharType="separate"/>
      </w:r>
      <w:r>
        <w:rPr>
          <w:rStyle w:val="CharStyle10"/>
          <w:lang w:val="en-US" w:eastAsia="en-US"/>
        </w:rPr>
        <w:t>omts-kardio@yandex.ru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ООО «Компания хеликон»</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4" w:right="997" w:bottom="708" w:left="1135" w:header="0" w:footer="3" w:gutter="0"/>
          <w:pgNumType w:start="1"/>
          <w:cols w:num="2" w:space="720" w:equalWidth="0">
            <w:col w:w="4066" w:space="1205"/>
            <w:col w:w="4498"/>
          </w:cols>
          <w:noEndnote/>
          <w:titlePg/>
          <w:rtlGutter w:val="0"/>
          <w:docGrid w:linePitch="360"/>
        </w:sectPr>
      </w:pPr>
      <w:r>
        <w:fldChar w:fldCharType="begin"/>
      </w:r>
      <w:r>
        <w:rPr/>
        <w:instrText> HYPERLINK "mailto:tender@helicon.ru" </w:instrText>
      </w:r>
      <w:r>
        <w:fldChar w:fldCharType="separate"/>
      </w:r>
      <w:r>
        <w:rPr>
          <w:rStyle w:val="CharStyle10"/>
          <w:lang w:val="en-US" w:eastAsia="en-US"/>
        </w:rPr>
        <w:t>tender@helicon.ru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28" w:after="2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30" w:right="0" w:bottom="888"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РЕШЕНИЕ</w:t>
      </w:r>
    </w:p>
    <w:p>
      <w:pPr>
        <w:pStyle w:val="Style9"/>
        <w:keepNext w:val="0"/>
        <w:keepLines w:val="0"/>
        <w:widowControl w:val="0"/>
        <w:shd w:val="clear" w:color="auto" w:fill="auto"/>
        <w:tabs>
          <w:tab w:pos="8947" w:val="left"/>
        </w:tabs>
        <w:bidi w:val="0"/>
        <w:spacing w:before="0" w:after="0" w:line="240" w:lineRule="auto"/>
        <w:ind w:left="0" w:right="0" w:firstLine="0"/>
        <w:jc w:val="center"/>
      </w:pPr>
      <w:r>
        <w:rPr>
          <w:rStyle w:val="CharStyle10"/>
          <w:b/>
          <w:bCs/>
        </w:rPr>
        <w:t>по делу № 077/06/105-6123/2026 о нарушении</w:t>
        <w:br/>
        <w:t>законодательства о контрактной системе</w:t>
        <w:br/>
        <w:t>15.05.2026</w:t>
        <w:tab/>
        <w:t>г. Москва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Председательствующего: главного государственного инспектора отдела обжалования государственных закупок А.А. Кутейникова,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Главного государственного инспектора отдела обжалования государственных закупок А.А. Матюшенко,</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Специалиста-эксперта отдела обжалования государственных закупок А.С. Гелмутдинова,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участии представителей: ООО «Компания хеликон»: Петриковой Е.Б. (дов.№43 от 24.02.2026), Должниковой М.А. (дов.№59 от 13.05.2026), ФГБУ «НМИЦК им. ак. Е.И. Чазова» Минздрава России: Кузина А.А. (дов.№б/н от 16.03.2026), Тарасова И.А. (дов.№б/н от 13.2026),</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рассмотрев жалобу ООО «Компания хеликон» (далее — Заявитель) на действия ФГБУ «НМИЦК им. АК. Е.И. Чазова» Минздрава России (далее - Заказчик) при проведении электронного аукциона на право заключения государственного контракта на поставку оборудования (218) (Закупка №0373100015826000208)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444500" distB="0" distL="0" distR="0" simplePos="0" relativeHeight="125829378" behindDoc="0" locked="0" layoutInCell="1" allowOverlap="1">
            <wp:simplePos x="0" y="0"/>
            <wp:positionH relativeFrom="page">
              <wp:posOffset>717550</wp:posOffset>
            </wp:positionH>
            <wp:positionV relativeFrom="paragraph">
              <wp:posOffset>444500</wp:posOffset>
            </wp:positionV>
            <wp:extent cx="1511935" cy="29273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240" w:line="240" w:lineRule="auto"/>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Московское УФАС России поступила жалоба Заявителя на действия Заказчика при проведении аукцион.</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заседание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составе жалобы Заявитель указывает, что установленные Заказчиком требования к характеристикам необходимого к поставке изделия «Секвенатор» ограничивают круг участников закупки, поскольку совокупности установленных требований соответствует товар единственного производителя ООО «Сесана».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этом ограничивающими требованиями к товару являются следующие требования:</w:t>
      </w:r>
    </w:p>
    <w:p>
      <w:pPr>
        <w:pStyle w:val="Style9"/>
        <w:keepNext w:val="0"/>
        <w:keepLines w:val="0"/>
        <w:widowControl w:val="0"/>
        <w:numPr>
          <w:ilvl w:val="0"/>
          <w:numId w:val="1"/>
        </w:numPr>
        <w:shd w:val="clear" w:color="auto" w:fill="auto"/>
        <w:tabs>
          <w:tab w:pos="1438" w:val="left"/>
        </w:tabs>
        <w:bidi w:val="0"/>
        <w:spacing w:before="0" w:after="0" w:line="240" w:lineRule="auto"/>
        <w:ind w:left="0" w:right="0" w:firstLine="700"/>
        <w:jc w:val="both"/>
      </w:pPr>
      <w:r>
        <w:rPr>
          <w:rStyle w:val="CharStyle10"/>
        </w:rPr>
        <w:t>«Генерация молекулярных кластеров на проточной ячейке и секвенирование в рамках одного прибора в полностью автоматическом режиме: соответствие»;</w:t>
      </w:r>
    </w:p>
    <w:p>
      <w:pPr>
        <w:pStyle w:val="Style9"/>
        <w:keepNext w:val="0"/>
        <w:keepLines w:val="0"/>
        <w:widowControl w:val="0"/>
        <w:numPr>
          <w:ilvl w:val="0"/>
          <w:numId w:val="1"/>
        </w:numPr>
        <w:shd w:val="clear" w:color="auto" w:fill="auto"/>
        <w:tabs>
          <w:tab w:pos="1438" w:val="left"/>
        </w:tabs>
        <w:bidi w:val="0"/>
        <w:spacing w:before="0" w:after="0" w:line="240" w:lineRule="auto"/>
        <w:ind w:left="0" w:right="0" w:firstLine="700"/>
        <w:jc w:val="both"/>
      </w:pPr>
      <w:r>
        <w:rPr>
          <w:rStyle w:val="CharStyle10"/>
        </w:rPr>
        <w:t>«В качестве субстрата для анализа используются ДНК-кластеры, полученные из одноцепочечных макромолекул путем мостиковой амплификации на поверхности проточной ячейки: соответствие»;</w:t>
      </w:r>
    </w:p>
    <w:p>
      <w:pPr>
        <w:pStyle w:val="Style9"/>
        <w:keepNext w:val="0"/>
        <w:keepLines w:val="0"/>
        <w:widowControl w:val="0"/>
        <w:numPr>
          <w:ilvl w:val="0"/>
          <w:numId w:val="1"/>
        </w:numPr>
        <w:shd w:val="clear" w:color="auto" w:fill="auto"/>
        <w:tabs>
          <w:tab w:pos="1438" w:val="left"/>
        </w:tabs>
        <w:bidi w:val="0"/>
        <w:spacing w:before="0" w:after="0" w:line="240" w:lineRule="auto"/>
        <w:ind w:left="0" w:right="0" w:firstLine="700"/>
        <w:jc w:val="both"/>
      </w:pPr>
      <w:r>
        <w:rPr>
          <w:rStyle w:val="CharStyle10"/>
        </w:rPr>
        <w:t xml:space="preserve">«Максимальная длина считываемого фрагмента ДНК при чтении с одного конца, нуклеотидов: </w:t>
      </w:r>
      <w:r>
        <w:rPr>
          <w:rStyle w:val="CharStyle10"/>
          <w:lang w:val="en-US" w:eastAsia="en-US"/>
        </w:rPr>
        <w:t>≥ 200»;</w:t>
      </w:r>
    </w:p>
    <w:p>
      <w:pPr>
        <w:pStyle w:val="Style9"/>
        <w:keepNext w:val="0"/>
        <w:keepLines w:val="0"/>
        <w:widowControl w:val="0"/>
        <w:numPr>
          <w:ilvl w:val="0"/>
          <w:numId w:val="1"/>
        </w:numPr>
        <w:shd w:val="clear" w:color="auto" w:fill="auto"/>
        <w:tabs>
          <w:tab w:pos="1438" w:val="left"/>
        </w:tabs>
        <w:bidi w:val="0"/>
        <w:spacing w:before="0" w:after="0" w:line="240" w:lineRule="auto"/>
        <w:ind w:left="0" w:right="0" w:firstLine="700"/>
        <w:jc w:val="both"/>
      </w:pPr>
      <w:r>
        <w:rPr>
          <w:rStyle w:val="CharStyle10"/>
        </w:rPr>
        <w:t>«Функция автоматической мойки внутренних магистралей по окончании запуска: соответствие».</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3"/>
        </w:numPr>
        <w:shd w:val="clear" w:color="auto" w:fill="auto"/>
        <w:tabs>
          <w:tab w:pos="1010" w:val="left"/>
        </w:tabs>
        <w:bidi w:val="0"/>
        <w:spacing w:before="0" w:after="0" w:line="240" w:lineRule="auto"/>
        <w:ind w:left="0" w:right="0" w:firstLine="700"/>
        <w:jc w:val="both"/>
      </w:pPr>
      <w:r>
        <w:rPr>
          <w:rStyle w:val="CharStyle10"/>
        </w:rPr>
        <w:t>) сопровождение такого указания словами «или эквивалент»;</w:t>
      </w:r>
    </w:p>
    <w:p>
      <w:pPr>
        <w:pStyle w:val="Style9"/>
        <w:keepNext w:val="0"/>
        <w:keepLines w:val="0"/>
        <w:widowControl w:val="0"/>
        <w:numPr>
          <w:ilvl w:val="0"/>
          <w:numId w:val="3"/>
        </w:numPr>
        <w:shd w:val="clear" w:color="auto" w:fill="auto"/>
        <w:tabs>
          <w:tab w:pos="1011" w:val="left"/>
        </w:tabs>
        <w:bidi w:val="0"/>
        <w:spacing w:before="0" w:after="120" w:line="240" w:lineRule="auto"/>
        <w:ind w:left="0" w:right="0" w:firstLine="700"/>
        <w:jc w:val="both"/>
      </w:pPr>
      <w:r>
        <w:rPr>
          <w:rStyle w:val="CharStyle10"/>
        </w:rPr>
        <w:t>)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3"/>
        </w:numPr>
        <w:shd w:val="clear" w:color="auto" w:fill="auto"/>
        <w:tabs>
          <w:tab w:pos="961" w:val="left"/>
        </w:tabs>
        <w:bidi w:val="0"/>
        <w:spacing w:before="0" w:after="0" w:line="240" w:lineRule="auto"/>
        <w:ind w:left="0" w:right="0" w:firstLine="720"/>
        <w:jc w:val="both"/>
      </w:pPr>
      <w:r>
        <w:rPr>
          <w:rStyle w:val="CharStyle10"/>
        </w:rPr>
        <w:t>)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3"/>
        </w:numPr>
        <w:shd w:val="clear" w:color="auto" w:fill="auto"/>
        <w:tabs>
          <w:tab w:pos="951" w:val="left"/>
        </w:tabs>
        <w:bidi w:val="0"/>
        <w:spacing w:before="0" w:after="0" w:line="240" w:lineRule="auto"/>
        <w:ind w:left="0" w:right="0" w:firstLine="720"/>
        <w:jc w:val="both"/>
      </w:pPr>
      <w:r>
        <w:rPr>
          <w:rStyle w:val="CharStyle10"/>
        </w:rPr>
        <w:t>)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Комиссией Управления установлено, что, согласно извещению об осуществлении закупки, заказчиком закупается изделие «Секвенатор», при этом Заказчиком установлены в том числе следующие требования к закупаемому изделию:</w:t>
      </w:r>
    </w:p>
    <w:p>
      <w:pPr>
        <w:pStyle w:val="Style9"/>
        <w:keepNext w:val="0"/>
        <w:keepLines w:val="0"/>
        <w:widowControl w:val="0"/>
        <w:numPr>
          <w:ilvl w:val="0"/>
          <w:numId w:val="3"/>
        </w:numPr>
        <w:shd w:val="clear" w:color="auto" w:fill="auto"/>
        <w:tabs>
          <w:tab w:pos="1412" w:val="left"/>
        </w:tabs>
        <w:bidi w:val="0"/>
        <w:spacing w:before="0" w:after="0" w:line="240" w:lineRule="auto"/>
        <w:ind w:left="0" w:right="0" w:firstLine="720"/>
        <w:jc w:val="both"/>
      </w:pPr>
      <w:r>
        <w:rPr>
          <w:rStyle w:val="CharStyle10"/>
        </w:rPr>
        <w:t>«Генерация молекулярных кластеров на проточной ячейке и секвенирование в рамках одного прибора в полностью автоматическом режиме: соответствие»;</w:t>
      </w:r>
    </w:p>
    <w:p>
      <w:pPr>
        <w:pStyle w:val="Style9"/>
        <w:keepNext w:val="0"/>
        <w:keepLines w:val="0"/>
        <w:widowControl w:val="0"/>
        <w:numPr>
          <w:ilvl w:val="0"/>
          <w:numId w:val="3"/>
        </w:numPr>
        <w:shd w:val="clear" w:color="auto" w:fill="auto"/>
        <w:tabs>
          <w:tab w:pos="1412" w:val="left"/>
        </w:tabs>
        <w:bidi w:val="0"/>
        <w:spacing w:before="0" w:after="0" w:line="240" w:lineRule="auto"/>
        <w:ind w:left="0" w:right="0" w:firstLine="720"/>
        <w:jc w:val="both"/>
      </w:pPr>
      <w:r>
        <w:rPr>
          <w:rStyle w:val="CharStyle10"/>
        </w:rPr>
        <w:t>«В качестве субстрата для анализа используются ДНК-кластеры, полученные из одноцепочечных макромолекул путем мостиковой амплификации на поверхности проточной ячейки: соответствие»;</w:t>
      </w:r>
    </w:p>
    <w:p>
      <w:pPr>
        <w:pStyle w:val="Style9"/>
        <w:keepNext w:val="0"/>
        <w:keepLines w:val="0"/>
        <w:widowControl w:val="0"/>
        <w:numPr>
          <w:ilvl w:val="0"/>
          <w:numId w:val="3"/>
        </w:numPr>
        <w:shd w:val="clear" w:color="auto" w:fill="auto"/>
        <w:tabs>
          <w:tab w:pos="1412" w:val="left"/>
        </w:tabs>
        <w:bidi w:val="0"/>
        <w:spacing w:before="0" w:after="0" w:line="240" w:lineRule="auto"/>
        <w:ind w:left="0" w:right="0" w:firstLine="720"/>
        <w:jc w:val="both"/>
      </w:pPr>
      <w:r>
        <w:rPr>
          <w:rStyle w:val="CharStyle10"/>
        </w:rPr>
        <w:t xml:space="preserve">«Максимальная длина считываемого фрагмента ДНК при чтении с одного конца, нуклеотидов: </w:t>
      </w:r>
      <w:r>
        <w:rPr>
          <w:rStyle w:val="CharStyle10"/>
          <w:lang w:val="en-US" w:eastAsia="en-US"/>
        </w:rPr>
        <w:t>≥ 200»;</w:t>
      </w:r>
    </w:p>
    <w:p>
      <w:pPr>
        <w:pStyle w:val="Style9"/>
        <w:keepNext w:val="0"/>
        <w:keepLines w:val="0"/>
        <w:widowControl w:val="0"/>
        <w:numPr>
          <w:ilvl w:val="0"/>
          <w:numId w:val="3"/>
        </w:numPr>
        <w:shd w:val="clear" w:color="auto" w:fill="auto"/>
        <w:tabs>
          <w:tab w:pos="1412" w:val="left"/>
        </w:tabs>
        <w:bidi w:val="0"/>
        <w:spacing w:before="0" w:after="0" w:line="240" w:lineRule="auto"/>
        <w:ind w:left="0" w:right="0" w:firstLine="720"/>
        <w:jc w:val="both"/>
      </w:pPr>
      <w:r>
        <w:rPr>
          <w:rStyle w:val="CharStyle10"/>
        </w:rPr>
        <w:t>«Функция автоматической мойки внутренних магистралей по окончании запуска: соответствие».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ч. </w:t>
      </w:r>
      <w:r>
        <w:rPr>
          <w:rStyle w:val="CharStyle10"/>
          <w:lang w:val="en-US" w:eastAsia="en-US"/>
        </w:rPr>
        <w:t xml:space="preserve">1 </w:t>
      </w:r>
      <w:r>
        <w:rPr>
          <w:rStyle w:val="CharStyle10"/>
        </w:rPr>
        <w:t xml:space="preserve">ст. </w:t>
      </w:r>
      <w:r>
        <w:rPr>
          <w:rStyle w:val="CharStyle10"/>
          <w:lang w:val="en-US" w:eastAsia="en-US"/>
        </w:rPr>
        <w:t xml:space="preserve">106 </w:t>
      </w:r>
      <w:r>
        <w:rPr>
          <w:rStyle w:val="CharStyle10"/>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На заседании Комиссии Управления представитель Заказчика пояснении, что требования к закупаемому изделию установлены в соответствии с потребностью учреждения, при этом, вопреки доводам жалобы, совокупности требований извещения, помимо изделий производства ООО «Сесана», также соответствует изделие «Секвенатор нуклеиновых кислот </w:t>
      </w:r>
      <w:r>
        <w:rPr>
          <w:rStyle w:val="CharStyle10"/>
          <w:lang w:val="en-US" w:eastAsia="en-US"/>
        </w:rPr>
        <w:t xml:space="preserve">NextSeqТМ 550Dx, </w:t>
      </w:r>
      <w:r>
        <w:rPr>
          <w:rStyle w:val="CharStyle10"/>
        </w:rPr>
        <w:t xml:space="preserve">методом секвенирования нового поколения </w:t>
      </w:r>
      <w:r>
        <w:rPr>
          <w:rStyle w:val="CharStyle10"/>
          <w:lang w:val="en-US" w:eastAsia="en-US"/>
        </w:rPr>
        <w:t xml:space="preserve">(NGS)», </w:t>
      </w:r>
      <w:r>
        <w:rPr>
          <w:rStyle w:val="CharStyle10"/>
        </w:rPr>
        <w:t xml:space="preserve">производства компании «Иллюмина Инк.» (регистрационное удостоверение №РЗН </w:t>
      </w:r>
      <w:r>
        <w:rPr>
          <w:rStyle w:val="CharStyle10"/>
          <w:lang w:val="en-US" w:eastAsia="en-US"/>
        </w:rPr>
        <w:t xml:space="preserve">2021/13216 </w:t>
      </w:r>
      <w:r>
        <w:rPr>
          <w:rStyle w:val="CharStyle10"/>
        </w:rPr>
        <w:t xml:space="preserve">от </w:t>
      </w:r>
      <w:r>
        <w:rPr>
          <w:rStyle w:val="CharStyle10"/>
          <w:lang w:val="en-US" w:eastAsia="en-US"/>
        </w:rPr>
        <w:t>12.12.2022).</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обоснование своей позиции представитель Заказчика представил:</w:t>
      </w:r>
    </w:p>
    <w:p>
      <w:pPr>
        <w:pStyle w:val="Style9"/>
        <w:keepNext w:val="0"/>
        <w:keepLines w:val="0"/>
        <w:widowControl w:val="0"/>
        <w:numPr>
          <w:ilvl w:val="0"/>
          <w:numId w:val="3"/>
        </w:numPr>
        <w:shd w:val="clear" w:color="auto" w:fill="auto"/>
        <w:tabs>
          <w:tab w:pos="1412" w:val="left"/>
        </w:tabs>
        <w:bidi w:val="0"/>
        <w:spacing w:before="0" w:after="0" w:line="240" w:lineRule="auto"/>
        <w:ind w:left="0" w:right="0" w:firstLine="720"/>
        <w:jc w:val="both"/>
      </w:pPr>
      <w:r>
        <w:rPr>
          <w:rStyle w:val="CharStyle10"/>
        </w:rPr>
        <w:t>коммерческие предложения, полученные Заказчиком на этапе формирования начальной (максимальной) цены контракта;</w:t>
      </w:r>
    </w:p>
    <w:p>
      <w:pPr>
        <w:pStyle w:val="Style9"/>
        <w:keepNext w:val="0"/>
        <w:keepLines w:val="0"/>
        <w:widowControl w:val="0"/>
        <w:numPr>
          <w:ilvl w:val="0"/>
          <w:numId w:val="3"/>
        </w:numPr>
        <w:shd w:val="clear" w:color="auto" w:fill="auto"/>
        <w:tabs>
          <w:tab w:pos="1392" w:val="left"/>
        </w:tabs>
        <w:bidi w:val="0"/>
        <w:spacing w:before="0" w:after="0" w:line="240" w:lineRule="auto"/>
        <w:ind w:left="0" w:right="0" w:firstLine="700"/>
        <w:jc w:val="both"/>
      </w:pPr>
      <w:r>
        <w:rPr>
          <w:rStyle w:val="CharStyle10"/>
        </w:rPr>
        <w:t xml:space="preserve">информационное письмо ООО «Медфрендс», в составе которого указано на соответствие изделия «Секвенатор нуклеиновых кислот </w:t>
      </w:r>
      <w:r>
        <w:rPr>
          <w:rStyle w:val="CharStyle10"/>
          <w:lang w:val="en-US" w:eastAsia="en-US"/>
        </w:rPr>
        <w:t xml:space="preserve">NextSeqТМ 550Dx </w:t>
      </w:r>
      <w:r>
        <w:rPr>
          <w:rStyle w:val="CharStyle10"/>
        </w:rPr>
        <w:t xml:space="preserve">методом секвенирования нового поколения </w:t>
      </w:r>
      <w:r>
        <w:rPr>
          <w:rStyle w:val="CharStyle10"/>
          <w:lang w:val="en-US" w:eastAsia="en-US"/>
        </w:rPr>
        <w:t xml:space="preserve">(NGS)», </w:t>
      </w:r>
      <w:r>
        <w:rPr>
          <w:rStyle w:val="CharStyle10"/>
        </w:rPr>
        <w:t xml:space="preserve">производства компании «Иллюмина, Инк.» (регистрационное удостоверение №РЗН </w:t>
      </w:r>
      <w:r>
        <w:rPr>
          <w:rStyle w:val="CharStyle10"/>
          <w:lang w:val="en-US" w:eastAsia="en-US"/>
        </w:rPr>
        <w:t xml:space="preserve">2021/13216 </w:t>
      </w:r>
      <w:r>
        <w:rPr>
          <w:rStyle w:val="CharStyle10"/>
        </w:rPr>
        <w:t xml:space="preserve">от </w:t>
      </w:r>
      <w:r>
        <w:rPr>
          <w:rStyle w:val="CharStyle10"/>
          <w:lang w:val="en-US" w:eastAsia="en-US"/>
        </w:rPr>
        <w:t xml:space="preserve">12.12.2022) </w:t>
      </w:r>
      <w:r>
        <w:rPr>
          <w:rStyle w:val="CharStyle10"/>
        </w:rPr>
        <w:t>совокупности требований извещения.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На заседании Комиссии Управления представитель Заявителя не согласился с с пояснениями представителя Заказчика и указал, что изделие указано на соответствие изделия «Секвенатор нуклеиновых кислот </w:t>
      </w:r>
      <w:r>
        <w:rPr>
          <w:rStyle w:val="CharStyle10"/>
          <w:lang w:val="en-US" w:eastAsia="en-US"/>
        </w:rPr>
        <w:t xml:space="preserve">NextSeqТМ 550Dx, </w:t>
      </w:r>
      <w:r>
        <w:rPr>
          <w:rStyle w:val="CharStyle10"/>
        </w:rPr>
        <w:t xml:space="preserve">методом секвенирования нового поколения </w:t>
      </w:r>
      <w:r>
        <w:rPr>
          <w:rStyle w:val="CharStyle10"/>
          <w:lang w:val="en-US" w:eastAsia="en-US"/>
        </w:rPr>
        <w:t xml:space="preserve">(NGS)», </w:t>
      </w:r>
      <w:r>
        <w:rPr>
          <w:rStyle w:val="CharStyle10"/>
        </w:rPr>
        <w:t xml:space="preserve">производства компании «Иллюмина, Инк.» (регистрационное удостоверение №РЗН </w:t>
      </w:r>
      <w:r>
        <w:rPr>
          <w:rStyle w:val="CharStyle10"/>
          <w:lang w:val="en-US" w:eastAsia="en-US"/>
        </w:rPr>
        <w:t xml:space="preserve">2021/13216 </w:t>
      </w:r>
      <w:r>
        <w:rPr>
          <w:rStyle w:val="CharStyle10"/>
        </w:rPr>
        <w:t xml:space="preserve">от </w:t>
      </w:r>
      <w:r>
        <w:rPr>
          <w:rStyle w:val="CharStyle10"/>
          <w:lang w:val="en-US" w:eastAsia="en-US"/>
        </w:rPr>
        <w:t xml:space="preserve">12.12.2022), </w:t>
      </w:r>
      <w:r>
        <w:rPr>
          <w:rStyle w:val="CharStyle10"/>
        </w:rPr>
        <w:t>совокупности требований извещения.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 обоснование своей позиции представитель Заявителя указал на данные эксплуатационной документации на вышеуказанные медицинские изделия, а также экспертное заключение руководителя департамента методической поддержки компании </w:t>
      </w:r>
      <w:r>
        <w:rPr>
          <w:rStyle w:val="CharStyle10"/>
          <w:lang w:val="en-US" w:eastAsia="en-US"/>
        </w:rPr>
        <w:t>«MGI Tech Rus».</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Вместе с этим Комиссия Управления отмечает следующее.</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 силу ч.4 ст.38 Федерального закона «Об основах охраны здоровья граждан в Российской Федерации» от </w:t>
      </w:r>
      <w:r>
        <w:rPr>
          <w:rStyle w:val="CharStyle10"/>
          <w:lang w:val="en-US" w:eastAsia="en-US"/>
        </w:rPr>
        <w:t xml:space="preserve">21.11.2011 </w:t>
      </w:r>
      <w:r>
        <w:rPr>
          <w:rStyle w:val="CharStyle10"/>
        </w:rPr>
        <w:t xml:space="preserve">№323-ФЗ (далее </w:t>
      </w:r>
      <w:r>
        <w:rPr>
          <w:rStyle w:val="CharStyle10"/>
          <w:lang w:val="en-US" w:eastAsia="en-US"/>
        </w:rPr>
        <w:t xml:space="preserve">— </w:t>
      </w:r>
      <w:r>
        <w:rPr>
          <w:rStyle w:val="CharStyle10"/>
        </w:rPr>
        <w:t>Закон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П.1 Постановления Правительства РФ от </w:t>
      </w:r>
      <w:r>
        <w:rPr>
          <w:rStyle w:val="CharStyle10"/>
          <w:lang w:val="en-US" w:eastAsia="en-US"/>
        </w:rPr>
        <w:t xml:space="preserve">30.11.2024 №1684 </w:t>
      </w:r>
      <w:r>
        <w:rPr>
          <w:rStyle w:val="CharStyle10"/>
        </w:rPr>
        <w:t xml:space="preserve">«Об утверждении Правил государственной регистрации медицинских изделий»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№1684) </w:t>
      </w:r>
      <w:r>
        <w:rPr>
          <w:rStyle w:val="CharStyle10"/>
        </w:rPr>
        <w:t xml:space="preserve">утверждены Правила государственной регистрации медицинских изделий (далее </w:t>
      </w:r>
      <w:r>
        <w:rPr>
          <w:rStyle w:val="CharStyle10"/>
          <w:lang w:val="en-US" w:eastAsia="en-US"/>
        </w:rPr>
        <w:t xml:space="preserve">— </w:t>
      </w:r>
      <w:r>
        <w:rPr>
          <w:rStyle w:val="CharStyle10"/>
        </w:rPr>
        <w:t>Правила).</w:t>
      </w:r>
    </w:p>
    <w:p>
      <w:pPr>
        <w:pStyle w:val="Style9"/>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630" w:right="539" w:bottom="888" w:left="1103" w:header="0" w:footer="3" w:gutter="0"/>
          <w:cols w:space="720"/>
          <w:noEndnote/>
          <w:rtlGutter w:val="0"/>
          <w:docGrid w:linePitch="360"/>
        </w:sectPr>
      </w:pPr>
      <w:r>
        <w:rPr>
          <w:rStyle w:val="CharStyle10"/>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w:t>
      </w:r>
    </w:p>
    <w:p>
      <w:pPr>
        <w:pStyle w:val="Style9"/>
        <w:keepNext w:val="0"/>
        <w:keepLines w:val="0"/>
        <w:widowControl w:val="0"/>
        <w:shd w:val="clear" w:color="auto" w:fill="auto"/>
        <w:bidi w:val="0"/>
        <w:spacing w:before="0" w:after="0" w:line="254" w:lineRule="auto"/>
        <w:ind w:left="0" w:right="0" w:firstLine="0"/>
        <w:jc w:val="both"/>
      </w:pPr>
      <w:r>
        <w:rPr>
          <w:rStyle w:val="CharStyle10"/>
        </w:rPr>
        <w:t>воздействия на организм человека.</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10"/>
          <w:lang w:val="en-US" w:eastAsia="en-US"/>
        </w:rPr>
        <w:t xml:space="preserve">- </w:t>
      </w:r>
      <w:r>
        <w:rPr>
          <w:rStyle w:val="CharStyle10"/>
        </w:rPr>
        <w:t>реестровая запись).</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Вместе с этим п.2 Постановления </w:t>
      </w:r>
      <w:r>
        <w:rPr>
          <w:rStyle w:val="CharStyle10"/>
          <w:lang w:val="en-US" w:eastAsia="en-US"/>
        </w:rPr>
        <w:t xml:space="preserve">№1684 </w:t>
      </w:r>
      <w:r>
        <w:rPr>
          <w:rStyle w:val="CharStyle10"/>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10"/>
          <w:lang w:val="en-US" w:eastAsia="en-US"/>
        </w:rPr>
        <w:t>№1684.</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10"/>
          <w:lang w:val="en-US" w:eastAsia="en-US"/>
        </w:rPr>
        <w:t xml:space="preserve">№1684 </w:t>
      </w:r>
      <w:r>
        <w:rPr>
          <w:rStyle w:val="CharStyle10"/>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Постановлением Правительства Российской Федерации от </w:t>
      </w:r>
      <w:r>
        <w:rPr>
          <w:rStyle w:val="CharStyle10"/>
          <w:lang w:val="en-US" w:eastAsia="en-US"/>
        </w:rPr>
        <w:t xml:space="preserve">27.12.2012 № 1416 </w:t>
      </w:r>
      <w:r>
        <w:rPr>
          <w:rStyle w:val="CharStyle10"/>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10"/>
          <w:lang w:val="en-US" w:eastAsia="en-US"/>
        </w:rPr>
        <w:t xml:space="preserve">— </w:t>
      </w:r>
      <w:r>
        <w:rPr>
          <w:rStyle w:val="CharStyle10"/>
        </w:rPr>
        <w:t xml:space="preserve">Правила от </w:t>
      </w:r>
      <w:r>
        <w:rPr>
          <w:rStyle w:val="CharStyle10"/>
          <w:lang w:val="en-US" w:eastAsia="en-US"/>
        </w:rPr>
        <w:t xml:space="preserve">27.12.2012), </w:t>
      </w:r>
      <w:r>
        <w:rPr>
          <w:rStyle w:val="CharStyle10"/>
        </w:rPr>
        <w:t xml:space="preserve">действующие до дня вступления в силу Постановления </w:t>
      </w:r>
      <w:r>
        <w:rPr>
          <w:rStyle w:val="CharStyle10"/>
          <w:lang w:val="en-US" w:eastAsia="en-US"/>
        </w:rPr>
        <w:t>№1684.</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П.6 Правил от </w:t>
      </w:r>
      <w:r>
        <w:rPr>
          <w:rStyle w:val="CharStyle10"/>
          <w:lang w:val="en-US" w:eastAsia="en-US"/>
        </w:rPr>
        <w:t xml:space="preserve">27.12.2012 </w:t>
      </w:r>
      <w:r>
        <w:rPr>
          <w:rStyle w:val="CharStyle10"/>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а также регистрационное удостоверение, выданное до дня вступления в силу Постановления </w:t>
      </w:r>
      <w:r>
        <w:rPr>
          <w:rStyle w:val="CharStyle10"/>
          <w:lang w:val="en-US" w:eastAsia="en-US"/>
        </w:rPr>
        <w:t xml:space="preserve">№1684, </w:t>
      </w:r>
      <w:r>
        <w:rPr>
          <w:rStyle w:val="CharStyle10"/>
        </w:rPr>
        <w:t xml:space="preserve">в соответствии с Правилами от </w:t>
      </w:r>
      <w:r>
        <w:rPr>
          <w:rStyle w:val="CharStyle10"/>
          <w:lang w:val="en-US" w:eastAsia="en-US"/>
        </w:rPr>
        <w:t>27.12.2012.</w:t>
      </w:r>
    </w:p>
    <w:p>
      <w:pPr>
        <w:pStyle w:val="Style9"/>
        <w:keepNext w:val="0"/>
        <w:keepLines w:val="0"/>
        <w:widowControl w:val="0"/>
        <w:shd w:val="clear" w:color="auto" w:fill="auto"/>
        <w:bidi w:val="0"/>
        <w:spacing w:before="0" w:after="0" w:line="254" w:lineRule="auto"/>
        <w:ind w:left="0" w:right="0" w:firstLine="700"/>
        <w:jc w:val="both"/>
      </w:pPr>
      <w:r>
        <w:rPr>
          <w:rStyle w:val="CharStyle10"/>
        </w:rPr>
        <w:t>П.4 Правил в том числе установлены следующие определения:</w:t>
      </w:r>
    </w:p>
    <w:p>
      <w:pPr>
        <w:pStyle w:val="Style9"/>
        <w:keepNext w:val="0"/>
        <w:keepLines w:val="0"/>
        <w:widowControl w:val="0"/>
        <w:numPr>
          <w:ilvl w:val="0"/>
          <w:numId w:val="3"/>
        </w:numPr>
        <w:shd w:val="clear" w:color="auto" w:fill="auto"/>
        <w:tabs>
          <w:tab w:pos="1426" w:val="left"/>
        </w:tabs>
        <w:bidi w:val="0"/>
        <w:spacing w:before="0" w:after="0" w:line="262" w:lineRule="auto"/>
        <w:ind w:left="0" w:right="0" w:firstLine="700"/>
        <w:jc w:val="both"/>
        <w:rPr>
          <w:sz w:val="24"/>
          <w:szCs w:val="24"/>
        </w:rPr>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62" w:right="550" w:bottom="692" w:left="1101" w:header="0" w:footer="3" w:gutter="0"/>
          <w:cols w:space="720"/>
          <w:noEndnote/>
          <w:rtlGutter w:val="0"/>
          <w:docGrid w:linePitch="360"/>
        </w:sectPr>
      </w:pPr>
      <w:r>
        <w:rPr>
          <w:rStyle w:val="CharStyle10"/>
        </w:rPr>
        <w:t xml:space="preserve">«регистрационное досье» </w:t>
      </w:r>
      <w:r>
        <w:rPr>
          <w:rStyle w:val="CharStyle10"/>
          <w:lang w:val="en-US" w:eastAsia="en-US"/>
        </w:rPr>
        <w:t xml:space="preserve">- </w:t>
      </w:r>
      <w:r>
        <w:rPr>
          <w:rStyle w:val="CharStyle10"/>
        </w:rPr>
        <w:t xml:space="preserve">комплект документов, представляемый заявителем для государственной регистрации медицинского изделия, внесения изменений в такие документы, отмены государственной регистрации медицинского изделия, а также копии решений, принятых регистрирующим </w:t>
      </w:r>
      <w:r>
        <w:rPr>
          <w:rStyle w:val="CharStyle10"/>
          <w:sz w:val="24"/>
          <w:szCs w:val="24"/>
          <w:lang w:val="en-US" w:eastAsia="en-US"/>
        </w:rPr>
        <w:t>2026-25000</w:t>
      </w:r>
    </w:p>
    <w:p>
      <w:pPr>
        <w:pStyle w:val="Style9"/>
        <w:keepNext w:val="0"/>
        <w:keepLines w:val="0"/>
        <w:widowControl w:val="0"/>
        <w:shd w:val="clear" w:color="auto" w:fill="auto"/>
        <w:bidi w:val="0"/>
        <w:spacing w:before="0" w:after="0" w:line="252" w:lineRule="auto"/>
        <w:ind w:left="0" w:right="0" w:firstLine="0"/>
        <w:jc w:val="both"/>
      </w:pPr>
      <w:r>
        <w:rPr>
          <w:rStyle w:val="CharStyle10"/>
        </w:rPr>
        <w:t xml:space="preserve">органом и федеральным государственным бюджетным учреждением, находящимся в ведении регистрирующего органа (далее </w:t>
      </w:r>
      <w:r>
        <w:rPr>
          <w:rStyle w:val="CharStyle10"/>
          <w:lang w:val="en-US" w:eastAsia="en-US"/>
        </w:rPr>
        <w:t xml:space="preserve">- </w:t>
      </w:r>
      <w:r>
        <w:rPr>
          <w:rStyle w:val="CharStyle10"/>
        </w:rPr>
        <w:t>экспертное учреждение), в отношении конкретного медицинского изделия;</w:t>
      </w:r>
    </w:p>
    <w:p>
      <w:pPr>
        <w:pStyle w:val="Style9"/>
        <w:keepNext w:val="0"/>
        <w:keepLines w:val="0"/>
        <w:widowControl w:val="0"/>
        <w:numPr>
          <w:ilvl w:val="0"/>
          <w:numId w:val="3"/>
        </w:numPr>
        <w:shd w:val="clear" w:color="auto" w:fill="auto"/>
        <w:tabs>
          <w:tab w:pos="1424" w:val="left"/>
        </w:tabs>
        <w:bidi w:val="0"/>
        <w:spacing w:before="0" w:after="0" w:line="252" w:lineRule="auto"/>
        <w:ind w:left="0" w:right="0" w:firstLine="700"/>
        <w:jc w:val="both"/>
      </w:pPr>
      <w:r>
        <w:rPr>
          <w:rStyle w:val="CharStyle10"/>
        </w:rPr>
        <w:t xml:space="preserve">«нормативная документация» </w:t>
      </w:r>
      <w:r>
        <w:rPr>
          <w:rStyle w:val="CharStyle10"/>
          <w:lang w:val="en-US" w:eastAsia="en-US"/>
        </w:rPr>
        <w:t xml:space="preserve">- </w:t>
      </w:r>
      <w:r>
        <w:rPr>
          <w:rStyle w:val="CharStyle10"/>
        </w:rPr>
        <w:t>документ, регламентирующий требования безопасности, качества, а также предполагаемую эффективность предусмотренного применения и методы контроля соответствия медицинского изделия этим требованиям. Состав сведений, указываемых в нормативной документации утверждается регистрирующим органом;</w:t>
      </w:r>
    </w:p>
    <w:p>
      <w:pPr>
        <w:pStyle w:val="Style9"/>
        <w:keepNext w:val="0"/>
        <w:keepLines w:val="0"/>
        <w:widowControl w:val="0"/>
        <w:numPr>
          <w:ilvl w:val="0"/>
          <w:numId w:val="3"/>
        </w:numPr>
        <w:shd w:val="clear" w:color="auto" w:fill="auto"/>
        <w:tabs>
          <w:tab w:pos="1424" w:val="left"/>
        </w:tabs>
        <w:bidi w:val="0"/>
        <w:spacing w:before="0" w:after="0" w:line="252" w:lineRule="auto"/>
        <w:ind w:left="0" w:right="0" w:firstLine="700"/>
        <w:jc w:val="both"/>
      </w:pPr>
      <w:r>
        <w:rPr>
          <w:rStyle w:val="CharStyle10"/>
        </w:rPr>
        <w:t xml:space="preserve">«техническая документация производителя (изготовителя) медицинского изделия» </w:t>
      </w:r>
      <w:r>
        <w:rPr>
          <w:rStyle w:val="CharStyle10"/>
          <w:lang w:val="en-US" w:eastAsia="en-US"/>
        </w:rPr>
        <w:t xml:space="preserve">- </w:t>
      </w:r>
      <w:r>
        <w:rPr>
          <w:rStyle w:val="CharStyle10"/>
        </w:rPr>
        <w:t>документ (документы), регламентирующий конструкцию медицинского изделия, устанавливающий технические требования и содержащий данные для его разработки, производства, применения, эксплуатации, технического обслуживания ремонта, утилизации или уничтожения;</w:t>
      </w:r>
    </w:p>
    <w:p>
      <w:pPr>
        <w:pStyle w:val="Style9"/>
        <w:keepNext w:val="0"/>
        <w:keepLines w:val="0"/>
        <w:widowControl w:val="0"/>
        <w:numPr>
          <w:ilvl w:val="0"/>
          <w:numId w:val="3"/>
        </w:numPr>
        <w:shd w:val="clear" w:color="auto" w:fill="auto"/>
        <w:tabs>
          <w:tab w:pos="1424" w:val="left"/>
        </w:tabs>
        <w:bidi w:val="0"/>
        <w:spacing w:before="0" w:after="0" w:line="252" w:lineRule="auto"/>
        <w:ind w:left="0" w:right="0" w:firstLine="700"/>
        <w:jc w:val="both"/>
      </w:pPr>
      <w:r>
        <w:rPr>
          <w:rStyle w:val="CharStyle10"/>
        </w:rPr>
        <w:t xml:space="preserve">«эксплуатационная документация производителя (изготовителя) медицинского изделия» </w:t>
      </w:r>
      <w:r>
        <w:rPr>
          <w:rStyle w:val="CharStyle10"/>
          <w:lang w:val="en-US" w:eastAsia="en-US"/>
        </w:rPr>
        <w:t xml:space="preserve">- </w:t>
      </w:r>
      <w:r>
        <w:rPr>
          <w:rStyle w:val="CharStyle10"/>
        </w:rPr>
        <w:t>документ (документы), предназначенный для ознакомления потребителя с конструкцией медицинского изделия, регламентирующий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9"/>
        <w:keepNext w:val="0"/>
        <w:keepLines w:val="0"/>
        <w:widowControl w:val="0"/>
        <w:shd w:val="clear" w:color="auto" w:fill="auto"/>
        <w:bidi w:val="0"/>
        <w:spacing w:before="0" w:after="0" w:line="252" w:lineRule="auto"/>
        <w:ind w:left="0" w:right="0" w:firstLine="700"/>
        <w:jc w:val="both"/>
      </w:pPr>
      <w:r>
        <w:rPr>
          <w:rStyle w:val="CharStyle10"/>
        </w:rPr>
        <w:t>Согласно ч.11 ст.48 Закона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Style9"/>
        <w:keepNext w:val="0"/>
        <w:keepLines w:val="0"/>
        <w:widowControl w:val="0"/>
        <w:numPr>
          <w:ilvl w:val="0"/>
          <w:numId w:val="5"/>
        </w:numPr>
        <w:shd w:val="clear" w:color="auto" w:fill="auto"/>
        <w:tabs>
          <w:tab w:pos="1439" w:val="left"/>
        </w:tabs>
        <w:bidi w:val="0"/>
        <w:spacing w:before="0" w:after="40" w:line="252" w:lineRule="auto"/>
        <w:ind w:left="0" w:right="0" w:firstLine="700"/>
        <w:jc w:val="both"/>
      </w:pPr>
      <w:r>
        <w:rPr>
          <w:rStyle w:val="CharStyle10"/>
        </w:rPr>
        <w:t>наименование медицинского изделия;</w:t>
      </w:r>
    </w:p>
    <w:p>
      <w:pPr>
        <w:pStyle w:val="Style9"/>
        <w:keepNext w:val="0"/>
        <w:keepLines w:val="0"/>
        <w:widowControl w:val="0"/>
        <w:numPr>
          <w:ilvl w:val="0"/>
          <w:numId w:val="5"/>
        </w:numPr>
        <w:shd w:val="clear" w:color="auto" w:fill="auto"/>
        <w:tabs>
          <w:tab w:pos="1424" w:val="left"/>
        </w:tabs>
        <w:bidi w:val="0"/>
        <w:spacing w:before="0" w:after="0" w:line="252" w:lineRule="auto"/>
        <w:ind w:left="0" w:right="0" w:firstLine="700"/>
        <w:jc w:val="both"/>
      </w:pPr>
      <w:r>
        <w:rPr>
          <w:rStyle w:val="CharStyle10"/>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9"/>
        <w:keepNext w:val="0"/>
        <w:keepLines w:val="0"/>
        <w:widowControl w:val="0"/>
        <w:numPr>
          <w:ilvl w:val="0"/>
          <w:numId w:val="5"/>
        </w:numPr>
        <w:shd w:val="clear" w:color="auto" w:fill="auto"/>
        <w:tabs>
          <w:tab w:pos="1439" w:val="left"/>
        </w:tabs>
        <w:bidi w:val="0"/>
        <w:spacing w:before="0" w:after="0" w:line="252" w:lineRule="auto"/>
        <w:ind w:left="0" w:right="0" w:firstLine="700"/>
        <w:jc w:val="both"/>
      </w:pPr>
      <w:r>
        <w:rPr>
          <w:rStyle w:val="CharStyle10"/>
        </w:rPr>
        <w:t>назначение медицинского изделия, установленное производителем;</w:t>
      </w:r>
    </w:p>
    <w:p>
      <w:pPr>
        <w:pStyle w:val="Style9"/>
        <w:keepNext w:val="0"/>
        <w:keepLines w:val="0"/>
        <w:widowControl w:val="0"/>
        <w:numPr>
          <w:ilvl w:val="0"/>
          <w:numId w:val="5"/>
        </w:numPr>
        <w:shd w:val="clear" w:color="auto" w:fill="auto"/>
        <w:tabs>
          <w:tab w:pos="1439" w:val="left"/>
        </w:tabs>
        <w:bidi w:val="0"/>
        <w:spacing w:before="0" w:after="40" w:line="252" w:lineRule="auto"/>
        <w:ind w:left="0" w:right="0" w:firstLine="700"/>
        <w:jc w:val="both"/>
      </w:pPr>
      <w:r>
        <w:rPr>
          <w:rStyle w:val="CharStyle10"/>
        </w:rPr>
        <w:t>вид медицинского изделия;</w:t>
      </w:r>
    </w:p>
    <w:p>
      <w:pPr>
        <w:pStyle w:val="Style9"/>
        <w:keepNext w:val="0"/>
        <w:keepLines w:val="0"/>
        <w:widowControl w:val="0"/>
        <w:numPr>
          <w:ilvl w:val="0"/>
          <w:numId w:val="5"/>
        </w:numPr>
        <w:shd w:val="clear" w:color="auto" w:fill="auto"/>
        <w:tabs>
          <w:tab w:pos="1439" w:val="left"/>
        </w:tabs>
        <w:bidi w:val="0"/>
        <w:spacing w:before="0" w:after="40" w:line="252" w:lineRule="auto"/>
        <w:ind w:left="0" w:right="0" w:firstLine="700"/>
        <w:jc w:val="both"/>
      </w:pPr>
      <w:r>
        <w:rPr>
          <w:rStyle w:val="CharStyle10"/>
        </w:rPr>
        <w:t>класс потенциального риска применения медицинского изделия;</w:t>
      </w:r>
    </w:p>
    <w:p>
      <w:pPr>
        <w:pStyle w:val="Style9"/>
        <w:keepNext w:val="0"/>
        <w:keepLines w:val="0"/>
        <w:widowControl w:val="0"/>
        <w:numPr>
          <w:ilvl w:val="0"/>
          <w:numId w:val="5"/>
        </w:numPr>
        <w:shd w:val="clear" w:color="auto" w:fill="auto"/>
        <w:tabs>
          <w:tab w:pos="1424" w:val="left"/>
        </w:tabs>
        <w:bidi w:val="0"/>
        <w:spacing w:before="0" w:after="0" w:line="252" w:lineRule="auto"/>
        <w:ind w:left="0" w:right="0" w:firstLine="700"/>
        <w:jc w:val="both"/>
      </w:pPr>
      <w:r>
        <w:rPr>
          <w:rStyle w:val="CharStyle10"/>
        </w:rPr>
        <w:t>код Общероссийского классификатора продукции по видам экономической деятельности;</w:t>
      </w:r>
    </w:p>
    <w:p>
      <w:pPr>
        <w:pStyle w:val="Style9"/>
        <w:keepNext w:val="0"/>
        <w:keepLines w:val="0"/>
        <w:widowControl w:val="0"/>
        <w:numPr>
          <w:ilvl w:val="0"/>
          <w:numId w:val="5"/>
        </w:numPr>
        <w:shd w:val="clear" w:color="auto" w:fill="auto"/>
        <w:tabs>
          <w:tab w:pos="1424" w:val="left"/>
        </w:tabs>
        <w:bidi w:val="0"/>
        <w:spacing w:before="0" w:after="0" w:line="252" w:lineRule="auto"/>
        <w:ind w:left="0" w:right="0" w:firstLine="700"/>
        <w:jc w:val="both"/>
      </w:pPr>
      <w:r>
        <w:rPr>
          <w:rStyle w:val="CharStyle10"/>
        </w:rPr>
        <w:t xml:space="preserve">наименование и место нахождения юридического лица </w:t>
      </w:r>
      <w:r>
        <w:rPr>
          <w:rStyle w:val="CharStyle10"/>
          <w:lang w:val="en-US" w:eastAsia="en-US"/>
        </w:rPr>
        <w:t xml:space="preserve">- </w:t>
      </w:r>
      <w:r>
        <w:rPr>
          <w:rStyle w:val="CharStyle10"/>
        </w:rPr>
        <w:t xml:space="preserve">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0"/>
          <w:lang w:val="en-US" w:eastAsia="en-US"/>
        </w:rPr>
        <w:t xml:space="preserve">- </w:t>
      </w:r>
      <w:r>
        <w:rPr>
          <w:rStyle w:val="CharStyle10"/>
        </w:rPr>
        <w:t>уполномоченного представителя производителя (изготовителя) медицинского изделия;</w:t>
      </w:r>
    </w:p>
    <w:p>
      <w:pPr>
        <w:pStyle w:val="Style9"/>
        <w:keepNext w:val="0"/>
        <w:keepLines w:val="0"/>
        <w:widowControl w:val="0"/>
        <w:numPr>
          <w:ilvl w:val="0"/>
          <w:numId w:val="5"/>
        </w:numPr>
        <w:shd w:val="clear" w:color="auto" w:fill="auto"/>
        <w:tabs>
          <w:tab w:pos="1424" w:val="left"/>
        </w:tabs>
        <w:bidi w:val="0"/>
        <w:spacing w:before="0" w:after="0" w:line="252" w:lineRule="auto"/>
        <w:ind w:left="0" w:right="0" w:firstLine="700"/>
        <w:jc w:val="both"/>
      </w:pPr>
      <w:r>
        <w:rPr>
          <w:rStyle w:val="CharStyle10"/>
        </w:rPr>
        <w:t xml:space="preserve">наименование и место нахождения организации </w:t>
      </w:r>
      <w:r>
        <w:rPr>
          <w:rStyle w:val="CharStyle10"/>
          <w:lang w:val="en-US" w:eastAsia="en-US"/>
        </w:rPr>
        <w:t xml:space="preserve">- </w:t>
      </w:r>
      <w:r>
        <w:rPr>
          <w:rStyle w:val="CharStyle10"/>
        </w:rPr>
        <w:t xml:space="preserve">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0"/>
          <w:lang w:val="en-US" w:eastAsia="en-US"/>
        </w:rPr>
        <w:t xml:space="preserve">- </w:t>
      </w:r>
      <w:r>
        <w:rPr>
          <w:rStyle w:val="CharStyle10"/>
        </w:rPr>
        <w:t>производителя (изготовителя) медицинского изделия;</w:t>
      </w:r>
    </w:p>
    <w:p>
      <w:pPr>
        <w:pStyle w:val="Style9"/>
        <w:keepNext w:val="0"/>
        <w:keepLines w:val="0"/>
        <w:widowControl w:val="0"/>
        <w:numPr>
          <w:ilvl w:val="0"/>
          <w:numId w:val="5"/>
        </w:numPr>
        <w:shd w:val="clear" w:color="auto" w:fill="auto"/>
        <w:tabs>
          <w:tab w:pos="1439" w:val="left"/>
        </w:tabs>
        <w:bidi w:val="0"/>
        <w:spacing w:before="0" w:after="40" w:line="252" w:lineRule="auto"/>
        <w:ind w:left="0" w:right="0" w:firstLine="700"/>
        <w:jc w:val="both"/>
        <w:sectPr>
          <w:footnotePr>
            <w:pos w:val="pageBottom"/>
            <w:numFmt w:val="decimal"/>
            <w:numRestart w:val="continuous"/>
          </w:footnotePr>
          <w:pgSz w:w="11900" w:h="16840"/>
          <w:pgMar w:top="1162" w:right="541" w:bottom="1133" w:left="1101" w:header="0" w:footer="3" w:gutter="0"/>
          <w:cols w:space="720"/>
          <w:noEndnote/>
          <w:rtlGutter w:val="0"/>
          <w:docGrid w:linePitch="360"/>
        </w:sectPr>
      </w:pPr>
      <w:r>
        <w:rPr>
          <w:rStyle w:val="CharStyle10"/>
        </w:rPr>
        <w:t>адрес места производства или изготовления медицинского изделия;</w:t>
      </w:r>
    </w:p>
    <w:p>
      <w:pPr>
        <w:pStyle w:val="Style9"/>
        <w:keepNext w:val="0"/>
        <w:keepLines w:val="0"/>
        <w:widowControl w:val="0"/>
        <w:numPr>
          <w:ilvl w:val="0"/>
          <w:numId w:val="5"/>
        </w:numPr>
        <w:shd w:val="clear" w:color="auto" w:fill="auto"/>
        <w:tabs>
          <w:tab w:pos="1439" w:val="left"/>
        </w:tabs>
        <w:bidi w:val="0"/>
        <w:spacing w:before="0" w:after="40" w:line="252" w:lineRule="auto"/>
        <w:ind w:left="0" w:right="0" w:firstLine="700"/>
        <w:jc w:val="both"/>
      </w:pPr>
      <w:r>
        <w:rPr>
          <w:rStyle w:val="CharStyle10"/>
        </w:rPr>
        <w:t>сведения о взаимозаменяемых медицинских изделиях;</w:t>
      </w:r>
    </w:p>
    <w:p>
      <w:pPr>
        <w:pStyle w:val="Style9"/>
        <w:keepNext w:val="0"/>
        <w:keepLines w:val="0"/>
        <w:widowControl w:val="0"/>
        <w:numPr>
          <w:ilvl w:val="0"/>
          <w:numId w:val="5"/>
        </w:numPr>
        <w:shd w:val="clear" w:color="auto" w:fill="auto"/>
        <w:tabs>
          <w:tab w:pos="1439" w:val="left"/>
        </w:tabs>
        <w:bidi w:val="0"/>
        <w:spacing w:before="0" w:after="0" w:line="252" w:lineRule="auto"/>
        <w:ind w:left="0" w:right="0" w:firstLine="700"/>
        <w:jc w:val="both"/>
      </w:pPr>
      <w:r>
        <w:rPr>
          <w:rStyle w:val="CharStyle10"/>
        </w:rPr>
        <w:t>иные сведения, определяемые Правительством Российской Федерации.</w:t>
      </w:r>
    </w:p>
    <w:p>
      <w:pPr>
        <w:pStyle w:val="Style9"/>
        <w:keepNext w:val="0"/>
        <w:keepLines w:val="0"/>
        <w:widowControl w:val="0"/>
        <w:shd w:val="clear" w:color="auto" w:fill="auto"/>
        <w:bidi w:val="0"/>
        <w:spacing w:before="0" w:after="0" w:line="252" w:lineRule="auto"/>
        <w:ind w:left="0" w:right="0" w:firstLine="700"/>
        <w:jc w:val="both"/>
      </w:pPr>
      <w:r>
        <w:rPr>
          <w:rStyle w:val="CharStyle10"/>
        </w:rPr>
        <w:t xml:space="preserve">В силу п.7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w:t>
      </w:r>
      <w:r>
        <w:rPr>
          <w:rStyle w:val="CharStyle10"/>
          <w:lang w:val="en-US" w:eastAsia="en-US"/>
        </w:rPr>
        <w:t xml:space="preserve">- </w:t>
      </w:r>
      <w:r>
        <w:rPr>
          <w:rStyle w:val="CharStyle10"/>
        </w:rPr>
        <w:t xml:space="preserve">Правила ведения государственного реестра медицинских изделий), утвержденных п.1 Постановления Правительства РФ от </w:t>
      </w:r>
      <w:r>
        <w:rPr>
          <w:rStyle w:val="CharStyle10"/>
          <w:lang w:val="en-US" w:eastAsia="en-US"/>
        </w:rPr>
        <w:t xml:space="preserve">30.09.2021 №1650 </w:t>
      </w:r>
      <w:r>
        <w:rPr>
          <w:rStyle w:val="CharStyle10"/>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w:t>
      </w:r>
      <w:r>
        <w:rPr>
          <w:rStyle w:val="CharStyle10"/>
          <w:lang w:val="en-US" w:eastAsia="en-US"/>
        </w:rPr>
        <w:t xml:space="preserve">1, 2 </w:t>
      </w:r>
      <w:r>
        <w:rPr>
          <w:rStyle w:val="CharStyle10"/>
        </w:rPr>
        <w:t xml:space="preserve">и </w:t>
      </w:r>
      <w:r>
        <w:rPr>
          <w:rStyle w:val="CharStyle10"/>
          <w:lang w:val="en-US" w:eastAsia="en-US"/>
        </w:rPr>
        <w:t xml:space="preserve">3 </w:t>
      </w:r>
      <w:r>
        <w:rPr>
          <w:rStyle w:val="CharStyle10"/>
        </w:rPr>
        <w:t xml:space="preserve">статьи </w:t>
      </w:r>
      <w:r>
        <w:rPr>
          <w:rStyle w:val="CharStyle10"/>
          <w:lang w:val="en-US" w:eastAsia="en-US"/>
        </w:rPr>
        <w:t xml:space="preserve">15 </w:t>
      </w:r>
      <w:r>
        <w:rPr>
          <w:rStyle w:val="CharStyle10"/>
        </w:rPr>
        <w:t>Федерального закона «Об обязательных требованиях в Российской Федерации» внесение в реестр сведений осуществляется в течение одного рабочего дня со дня принятия решения о государственной регистрации медицинского изделия, или об отмене государственной регистрации медицинского изделия, или о внесении изменений в документы, содержащиеся в регистрационном досье на медицинское изделие.</w:t>
      </w:r>
    </w:p>
    <w:p>
      <w:pPr>
        <w:pStyle w:val="Style9"/>
        <w:keepNext w:val="0"/>
        <w:keepLines w:val="0"/>
        <w:widowControl w:val="0"/>
        <w:shd w:val="clear" w:color="auto" w:fill="auto"/>
        <w:bidi w:val="0"/>
        <w:spacing w:before="0" w:after="0" w:line="252" w:lineRule="auto"/>
        <w:ind w:left="0" w:right="0" w:firstLine="700"/>
        <w:jc w:val="both"/>
      </w:pPr>
      <w:r>
        <w:rPr>
          <w:rStyle w:val="CharStyle10"/>
        </w:rPr>
        <w:t>Согласно пп.«н» п.6 Правил ведения государственного реестра медицинских изделий Реестр медицинских изделий содержит электронный образ эксплуатационной документации производителя (изготовителя) на медицинское изделие, при этом п.6 Правил ведения государственного реестра медицинских изделий не предусмотрено публикация в Реестре медицинских изделий сведений о технической документации производителя (изготовителя) медицинского изделия.</w:t>
      </w:r>
    </w:p>
    <w:p>
      <w:pPr>
        <w:pStyle w:val="Style9"/>
        <w:keepNext w:val="0"/>
        <w:keepLines w:val="0"/>
        <w:widowControl w:val="0"/>
        <w:shd w:val="clear" w:color="auto" w:fill="auto"/>
        <w:bidi w:val="0"/>
        <w:spacing w:before="0" w:after="0" w:line="252" w:lineRule="auto"/>
        <w:ind w:left="0" w:right="0" w:firstLine="700"/>
        <w:jc w:val="both"/>
      </w:pPr>
      <w:r>
        <w:rPr>
          <w:rStyle w:val="CharStyle10"/>
        </w:rPr>
        <w:t>Исходя из вышеизложенного Комиссия Управления приходит к выводу, что в Реестре медицинских изделий подлежит размещению лишь эксплуатационная документация производителя (изготовителя) на медицинское изделие, при этом техническая документация производителя (изготовителя) на медицинское изделие не подлежит публикации, в связи с чем документы, размещенные в Реестре медицинских изделий, могут не содержать исчерпывающий перечень характеристик зарегистрированного медицинского изделия.</w:t>
      </w:r>
    </w:p>
    <w:p>
      <w:pPr>
        <w:pStyle w:val="Style9"/>
        <w:keepNext w:val="0"/>
        <w:keepLines w:val="0"/>
        <w:widowControl w:val="0"/>
        <w:shd w:val="clear" w:color="auto" w:fill="auto"/>
        <w:bidi w:val="0"/>
        <w:spacing w:before="0" w:after="0" w:line="252" w:lineRule="auto"/>
        <w:ind w:left="0" w:right="0" w:firstLine="700"/>
        <w:jc w:val="both"/>
      </w:pPr>
      <w:r>
        <w:rPr>
          <w:rStyle w:val="CharStyle10"/>
        </w:rPr>
        <w:t>Таким образом, Комиссия Управления приходит к выводу, что отсутствие в эксплуатационной документации на медицинское изделие указания на отдельные характеристики изделия не может однозначным образом свидетельствовать об отсутствии у изделия таких характеристик.</w:t>
      </w:r>
    </w:p>
    <w:p>
      <w:pPr>
        <w:pStyle w:val="Style9"/>
        <w:keepNext w:val="0"/>
        <w:keepLines w:val="0"/>
        <w:widowControl w:val="0"/>
        <w:shd w:val="clear" w:color="auto" w:fill="auto"/>
        <w:bidi w:val="0"/>
        <w:spacing w:before="0" w:after="0" w:line="276" w:lineRule="auto"/>
        <w:ind w:left="0" w:right="0" w:firstLine="700"/>
        <w:jc w:val="both"/>
        <w:rPr>
          <w:sz w:val="24"/>
          <w:szCs w:val="24"/>
        </w:rPr>
        <w:sectPr>
          <w:footnotePr>
            <w:pos w:val="pageBottom"/>
            <w:numFmt w:val="decimal"/>
            <w:numRestart w:val="continuous"/>
          </w:footnotePr>
          <w:pgSz w:w="11900" w:h="16840"/>
          <w:pgMar w:top="1162" w:right="541" w:bottom="677" w:left="1101" w:header="0" w:footer="3" w:gutter="0"/>
          <w:cols w:space="720"/>
          <w:noEndnote/>
          <w:rtlGutter w:val="0"/>
          <w:docGrid w:linePitch="360"/>
        </w:sectPr>
      </w:pPr>
      <w:r>
        <w:rPr>
          <w:rStyle w:val="CharStyle10"/>
        </w:rPr>
        <w:t xml:space="preserve">Комиссия Управления отмечает, что из положений эксплуатационной документации, указание на которые содержатся в доводах Заявителя представителей Заявителя, однозначным образом не представляется возможным </w:t>
      </w:r>
      <w:r>
        <w:rPr>
          <w:rStyle w:val="CharStyle10"/>
          <w:sz w:val="24"/>
          <w:szCs w:val="24"/>
          <w:lang w:val="en-US" w:eastAsia="en-US"/>
        </w:rPr>
        <w:t>2026-25000</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прийти к выводу, что изделие «Секвенатор нуклеиновых кислот </w:t>
      </w:r>
      <w:r>
        <w:rPr>
          <w:rStyle w:val="CharStyle10"/>
          <w:lang w:val="en-US" w:eastAsia="en-US"/>
        </w:rPr>
        <w:t xml:space="preserve">NextSeqТМ 550Dx, </w:t>
      </w:r>
      <w:r>
        <w:rPr>
          <w:rStyle w:val="CharStyle10"/>
        </w:rPr>
        <w:t xml:space="preserve">методом секвенирования нового поколения </w:t>
      </w:r>
      <w:r>
        <w:rPr>
          <w:rStyle w:val="CharStyle10"/>
          <w:lang w:val="en-US" w:eastAsia="en-US"/>
        </w:rPr>
        <w:t xml:space="preserve">(NGS)», </w:t>
      </w:r>
      <w:r>
        <w:rPr>
          <w:rStyle w:val="CharStyle10"/>
        </w:rPr>
        <w:t>производства компании «Иллюмина, Инк.», не соответствует требованиям извещения.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на основании представленных документов и сведений, не усматривается достаточных оснований для однозначного вывода о несоответствии рассматриваемых медицинских изделий требованиям извещения об осуществлении закупки. В регистрационных материалах отсутствуют информация, позволяющая однозначно и императивно интерпретировать данное требование в толковании, предложенном Заявителем. Доводы Заявителя в указанной части носят предположительный характер и не подкреплены совокупностью объективных и допустимых доказательств.</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вышеизложенного, в составе жалобы Заявителем не представлено документов и сведений, однозначно свидетельствующих о несоответствии вышеуказанных изделий совокупности требований извещения.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Иного на заседании Комиссии Управления не выявлено.</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вышеизложенного Комиссия Управления приходит к выводу, что доводы жалобы Заявителя не нашли своего подтверждения и являются необоснованными.</w:t>
      </w:r>
    </w:p>
    <w:p>
      <w:pPr>
        <w:pStyle w:val="Style9"/>
        <w:keepNext w:val="0"/>
        <w:keepLines w:val="0"/>
        <w:widowControl w:val="0"/>
        <w:shd w:val="clear" w:color="auto" w:fill="auto"/>
        <w:bidi w:val="0"/>
        <w:spacing w:before="0" w:after="0" w:line="240" w:lineRule="auto"/>
        <w:ind w:left="0" w:right="0" w:firstLine="700"/>
        <w:jc w:val="both"/>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162" w:right="545" w:bottom="1162" w:left="1101" w:header="0" w:footer="3" w:gutter="0"/>
          <w:cols w:space="720"/>
          <w:noEndnote/>
          <w:rtlGutter w:val="0"/>
          <w:docGrid w:linePitch="360"/>
        </w:sectPr>
      </w:pPr>
      <w:r>
        <w:rPr>
          <w:rStyle w:val="CharStyle10"/>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80" w:line="240" w:lineRule="auto"/>
        <w:ind w:left="0" w:right="0" w:firstLine="0"/>
        <w:jc w:val="center"/>
      </w:pPr>
      <w:r>
        <w:rPr>
          <w:rStyle w:val="CharStyle10"/>
          <w:b/>
          <w:bCs/>
        </w:rPr>
        <w:t>РЕШИЛА:</w:t>
      </w:r>
    </w:p>
    <w:p>
      <w:pPr>
        <w:pStyle w:val="Style9"/>
        <w:keepNext w:val="0"/>
        <w:keepLines w:val="0"/>
        <w:widowControl w:val="0"/>
        <w:numPr>
          <w:ilvl w:val="0"/>
          <w:numId w:val="7"/>
        </w:numPr>
        <w:shd w:val="clear" w:color="auto" w:fill="auto"/>
        <w:tabs>
          <w:tab w:pos="1416" w:val="left"/>
        </w:tabs>
        <w:bidi w:val="0"/>
        <w:spacing w:before="0" w:after="0" w:line="240" w:lineRule="auto"/>
        <w:ind w:left="0" w:right="0" w:firstLine="620"/>
        <w:jc w:val="both"/>
      </w:pPr>
      <w:r>
        <w:rPr>
          <w:rStyle w:val="CharStyle10"/>
        </w:rPr>
        <w:t>Признать жалобу ООО «Компания хеликон» на действия ФГБУ «НМИЦК им. ак. Е.И. Чазова» Минздрава России необоснованной.</w:t>
      </w:r>
    </w:p>
    <w:p>
      <w:pPr>
        <w:pStyle w:val="Style9"/>
        <w:keepNext w:val="0"/>
        <w:keepLines w:val="0"/>
        <w:widowControl w:val="0"/>
        <w:numPr>
          <w:ilvl w:val="0"/>
          <w:numId w:val="7"/>
        </w:numPr>
        <w:shd w:val="clear" w:color="auto" w:fill="auto"/>
        <w:tabs>
          <w:tab w:pos="1416" w:val="left"/>
        </w:tabs>
        <w:bidi w:val="0"/>
        <w:spacing w:before="0" w:after="240" w:line="240" w:lineRule="auto"/>
        <w:ind w:left="0" w:right="0" w:firstLine="620"/>
        <w:jc w:val="both"/>
      </w:pPr>
      <w:r>
        <w:rPr>
          <w:rStyle w:val="CharStyle10"/>
        </w:rPr>
        <w:t>Снять ограничения на определение поставщика (подрядчика, исполнителя), наложенные Московским УФАС России.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установленным гл. </w:t>
      </w:r>
      <w:r>
        <w:rPr>
          <w:rStyle w:val="CharStyle10"/>
          <w:lang w:val="en-US" w:eastAsia="en-US"/>
        </w:rPr>
        <w:t xml:space="preserve">24 </w:t>
      </w:r>
      <w:r>
        <w:rPr>
          <w:rStyle w:val="CharStyle10"/>
        </w:rPr>
        <w:t>АПК РФ.</w:t>
      </w:r>
    </w:p>
    <w:p>
      <w:pPr>
        <w:widowControl w:val="0"/>
        <w:spacing w:line="1" w:lineRule="exact"/>
        <w:sectPr>
          <w:footnotePr>
            <w:pos w:val="pageBottom"/>
            <w:numFmt w:val="decimal"/>
            <w:numRestart w:val="continuous"/>
          </w:footnotePr>
          <w:pgSz w:w="11900" w:h="16840"/>
          <w:pgMar w:top="1158" w:right="532" w:bottom="1739" w:left="1111" w:header="0" w:footer="3" w:gutter="0"/>
          <w:cols w:space="720"/>
          <w:noEndnote/>
          <w:rtlGutter w:val="0"/>
          <w:docGrid w:linePitch="360"/>
        </w:sectPr>
      </w:pPr>
      <w:r>
        <mc:AlternateContent>
          <mc:Choice Requires="wps">
            <w:drawing>
              <wp:anchor distT="330200" distB="215900" distL="0" distR="0" simplePos="0" relativeHeight="125829379" behindDoc="0" locked="0" layoutInCell="1" allowOverlap="1">
                <wp:simplePos x="0" y="0"/>
                <wp:positionH relativeFrom="page">
                  <wp:posOffset>739140</wp:posOffset>
                </wp:positionH>
                <wp:positionV relativeFrom="paragraph">
                  <wp:posOffset>330200</wp:posOffset>
                </wp:positionV>
                <wp:extent cx="1896110" cy="250190"/>
                <wp:wrapTopAndBottom/>
                <wp:docPr id="28" name="Shape 28"/>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54" type="#_x0000_t202" style="position:absolute;margin-left:58.200000000000003pt;margin-top:26.pt;width:149.30000000000001pt;height:19.699999999999999pt;z-index:-125829374;mso-wrap-distance-left:0;mso-wrap-distance-top:26.pt;mso-wrap-distance-right:0;mso-wrap-distance-bottom:1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397510" distB="0" distL="0" distR="1786255" simplePos="0" relativeHeight="125829381" behindDoc="0" locked="0" layoutInCell="1" allowOverlap="1">
            <wp:simplePos x="0" y="0"/>
            <wp:positionH relativeFrom="page">
              <wp:posOffset>3107690</wp:posOffset>
            </wp:positionH>
            <wp:positionV relativeFrom="paragraph">
              <wp:posOffset>397510</wp:posOffset>
            </wp:positionV>
            <wp:extent cx="359410" cy="402590"/>
            <wp:wrapTopAndBottom/>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23"/>
                    <a:stretch/>
                  </pic:blipFill>
                  <pic:spPr>
                    <a:xfrm>
                      <a:ext cx="35941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3528060</wp:posOffset>
                </wp:positionH>
                <wp:positionV relativeFrom="paragraph">
                  <wp:posOffset>488950</wp:posOffset>
                </wp:positionV>
                <wp:extent cx="1722120" cy="259080"/>
                <wp:wrapNone/>
                <wp:docPr id="32" name="Shape 3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7.80000000000001pt;margin-top:38.5pt;width:135.59999999999999pt;height:20.40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5900" distL="0" distR="0" simplePos="0" relativeHeight="125829382" behindDoc="0" locked="0" layoutInCell="1" allowOverlap="1">
                <wp:simplePos x="0" y="0"/>
                <wp:positionH relativeFrom="page">
                  <wp:posOffset>5908675</wp:posOffset>
                </wp:positionH>
                <wp:positionV relativeFrom="paragraph">
                  <wp:posOffset>330200</wp:posOffset>
                </wp:positionV>
                <wp:extent cx="1307465" cy="250190"/>
                <wp:wrapTopAndBottom/>
                <wp:docPr id="34" name="Shape 34"/>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А.А. Кутейников</w:t>
                            </w:r>
                          </w:p>
                        </w:txbxContent>
                      </wps:txbx>
                      <wps:bodyPr wrap="none" lIns="0" tIns="0" rIns="0" bIns="0">
                        <a:noAutoFit/>
                      </wps:bodyPr>
                    </wps:wsp>
                  </a:graphicData>
                </a:graphic>
              </wp:anchor>
            </w:drawing>
          </mc:Choice>
          <mc:Fallback>
            <w:pict>
              <v:shape id="_x0000_s1060" type="#_x0000_t202" style="position:absolute;margin-left:465.25pt;margin-top:26.pt;width:102.95pt;height:19.699999999999999pt;z-index:-125829371;mso-wrap-distance-left:0;mso-wrap-distance-top:26.pt;mso-wrap-distance-right:0;mso-wrap-distance-bottom:1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А.А. Кутейников</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7"/>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Кутейников Антон Андреевич</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67950889C45403E5BD9EBC88A8D80C0D</w:t>
      </w:r>
    </w:p>
    <w:p>
      <w:pPr>
        <w:pStyle w:val="Style18"/>
        <w:keepNext w:val="0"/>
        <w:keepLines w:val="0"/>
        <w:widowControl w:val="0"/>
        <w:shd w:val="clear" w:color="auto" w:fill="auto"/>
        <w:bidi w:val="0"/>
        <w:spacing w:before="0" w:after="560" w:line="240" w:lineRule="auto"/>
        <w:ind w:right="0" w:firstLine="0"/>
        <w:jc w:val="left"/>
      </w:pPr>
      <w:r>
        <w:rPr>
          <w:rStyle w:val="CharStyle19"/>
        </w:rPr>
        <w:t xml:space="preserve">Действителен с 19.05.2025 </w:t>
      </w:r>
      <w:r>
        <w:rPr>
          <w:rStyle w:val="CharStyle19"/>
          <w:color w:val="5E5E5E"/>
        </w:rPr>
        <w:t xml:space="preserve">по </w:t>
      </w:r>
      <w:r>
        <w:rPr>
          <w:rStyle w:val="CharStyle19"/>
        </w:rPr>
        <w:t>12.08.2026</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4" behindDoc="0" locked="0" layoutInCell="1" allowOverlap="1">
            <wp:simplePos x="0" y="0"/>
            <wp:positionH relativeFrom="page">
              <wp:posOffset>3073400</wp:posOffset>
            </wp:positionH>
            <wp:positionV relativeFrom="paragraph">
              <wp:posOffset>25400</wp:posOffset>
            </wp:positionV>
            <wp:extent cx="389890" cy="560705"/>
            <wp:wrapSquare wrapText="right"/>
            <wp:docPr id="36" name="Shape 36"/>
            <a:graphic xmlns:a="http://schemas.openxmlformats.org/drawingml/2006/main">
              <a:graphicData uri="http://schemas.openxmlformats.org/drawingml/2006/picture">
                <pic:pic xmlns:pic="http://schemas.openxmlformats.org/drawingml/2006/picture">
                  <pic:nvPicPr>
                    <pic:cNvPr id="37" name="Picture box 37"/>
                    <pic:cNvPicPr/>
                  </pic:nvPicPr>
                  <pic:blipFill>
                    <a:blip r:embed="rId25"/>
                    <a:stretch/>
                  </pic:blipFill>
                  <pic:spPr>
                    <a:xfrm>
                      <a:ext cx="389890" cy="56070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467360</wp:posOffset>
                </wp:positionV>
                <wp:extent cx="1283335" cy="100330"/>
                <wp:wrapNone/>
                <wp:docPr id="38" name="Shape 3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64" type="#_x0000_t202" style="position:absolute;margin-left:280.90000000000003pt;margin-top:36.800000000000004pt;width:101.05pt;height:7.9000000000000004pt;z-index:251657731;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150495</wp:posOffset>
                </wp:positionV>
                <wp:extent cx="1722120" cy="259080"/>
                <wp:wrapNone/>
                <wp:docPr id="40" name="Shape 4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6" type="#_x0000_t202" style="position:absolute;margin-left:277.75pt;margin-top:11.85pt;width:135.59999999999999pt;height:20.40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А.А. Матюшенко</w:t>
      </w:r>
    </w:p>
    <w:p>
      <w:pPr>
        <w:pStyle w:val="Style18"/>
        <w:keepNext w:val="0"/>
        <w:keepLines w:val="0"/>
        <w:widowControl w:val="0"/>
        <w:shd w:val="clear" w:color="auto" w:fill="auto"/>
        <w:bidi w:val="0"/>
        <w:spacing w:before="0" w:after="0"/>
        <w:ind w:right="0"/>
        <w:jc w:val="left"/>
      </w:pPr>
      <w:r>
        <w:rPr>
          <w:rStyle w:val="CharStyle19"/>
        </w:rPr>
        <w:t xml:space="preserve">Кому выдан: </w:t>
      </w:r>
      <w:r>
        <w:rPr>
          <w:rStyle w:val="CharStyle19"/>
          <w:color w:val="000000"/>
        </w:rPr>
        <w:t>Матюшенко Александр Александрович</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lang w:val="en-US" w:eastAsia="en-US"/>
        </w:rPr>
        <w:t>4F595A5C3E5ABB2DD77161F08559FC07</w:t>
      </w:r>
    </w:p>
    <w:p>
      <w:pPr>
        <w:pStyle w:val="Style18"/>
        <w:keepNext w:val="0"/>
        <w:keepLines w:val="0"/>
        <w:widowControl w:val="0"/>
        <w:shd w:val="clear" w:color="auto" w:fill="auto"/>
        <w:bidi w:val="0"/>
        <w:spacing w:before="0" w:after="560"/>
        <w:ind w:right="0"/>
        <w:jc w:val="left"/>
      </w:pPr>
      <w:r>
        <w:rPr>
          <w:rStyle w:val="CharStyle19"/>
        </w:rPr>
        <w:t xml:space="preserve">Действителен с 22.07.2025 </w:t>
      </w:r>
      <w:r>
        <w:rPr>
          <w:rStyle w:val="CharStyle19"/>
          <w:color w:val="5E5E5E"/>
        </w:rPr>
        <w:t xml:space="preserve">по </w:t>
      </w:r>
      <w:r>
        <w:rPr>
          <w:rStyle w:val="CharStyle19"/>
        </w:rPr>
        <w:t>15.10.2026</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3107055</wp:posOffset>
            </wp:positionH>
            <wp:positionV relativeFrom="paragraph">
              <wp:posOffset>50800</wp:posOffset>
            </wp:positionV>
            <wp:extent cx="359410" cy="530225"/>
            <wp:wrapSquare wrapText="right"/>
            <wp:docPr id="42" name="Shape 42"/>
            <a:graphic xmlns:a="http://schemas.openxmlformats.org/drawingml/2006/main">
              <a:graphicData uri="http://schemas.openxmlformats.org/drawingml/2006/picture">
                <pic:pic xmlns:pic="http://schemas.openxmlformats.org/drawingml/2006/picture">
                  <pic:nvPicPr>
                    <pic:cNvPr id="43" name="Picture box 43"/>
                    <pic:cNvPicPr/>
                  </pic:nvPicPr>
                  <pic:blipFill>
                    <a:blip r:embed="rId27"/>
                    <a:stretch/>
                  </pic:blipFill>
                  <pic:spPr>
                    <a:xfrm>
                      <a:ext cx="359410" cy="53022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3567430</wp:posOffset>
                </wp:positionH>
                <wp:positionV relativeFrom="paragraph">
                  <wp:posOffset>465455</wp:posOffset>
                </wp:positionV>
                <wp:extent cx="1283335" cy="100330"/>
                <wp:wrapNone/>
                <wp:docPr id="44" name="Shape 4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70" type="#_x0000_t202" style="position:absolute;margin-left:280.90000000000003pt;margin-top:36.649999999999999pt;width:101.05pt;height:7.9000000000000004pt;z-index:251657735;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3527425</wp:posOffset>
                </wp:positionH>
                <wp:positionV relativeFrom="paragraph">
                  <wp:posOffset>148590</wp:posOffset>
                </wp:positionV>
                <wp:extent cx="1722120" cy="259080"/>
                <wp:wrapNone/>
                <wp:docPr id="46" name="Shape 4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2" type="#_x0000_t202" style="position:absolute;margin-left:277.75pt;margin-top:11.700000000000001pt;width:135.59999999999999pt;height:20.400000000000002pt;z-index:25165773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А.С. Гелмутдинова</w:t>
      </w:r>
    </w:p>
    <w:p>
      <w:pPr>
        <w:pStyle w:val="Style18"/>
        <w:keepNext w:val="0"/>
        <w:keepLines w:val="0"/>
        <w:widowControl w:val="0"/>
        <w:shd w:val="clear" w:color="auto" w:fill="auto"/>
        <w:bidi w:val="0"/>
        <w:spacing w:before="0" w:after="0"/>
        <w:ind w:right="0"/>
        <w:jc w:val="left"/>
      </w:pPr>
      <w:r>
        <w:rPr>
          <w:rStyle w:val="CharStyle19"/>
        </w:rPr>
        <w:t xml:space="preserve">Кому выдан: </w:t>
      </w:r>
      <w:r>
        <w:rPr>
          <w:rStyle w:val="CharStyle19"/>
          <w:color w:val="000000"/>
        </w:rPr>
        <w:t>ГЕЛМУТДИНОВА АНАСТАСИЯ СЕРГЕЕВНА</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rPr>
        <w:t>723501СС21703599976371</w:t>
      </w:r>
      <w:r>
        <w:rPr>
          <w:rStyle w:val="CharStyle19"/>
          <w:lang w:val="en-US" w:eastAsia="en-US"/>
        </w:rPr>
        <w:t>4F5C652689</w:t>
      </w:r>
    </w:p>
    <w:p>
      <w:pPr>
        <w:pStyle w:val="Style18"/>
        <w:keepNext w:val="0"/>
        <w:keepLines w:val="0"/>
        <w:widowControl w:val="0"/>
        <w:shd w:val="clear" w:color="auto" w:fill="auto"/>
        <w:bidi w:val="0"/>
        <w:spacing w:before="0" w:after="3820"/>
        <w:ind w:right="0"/>
        <w:jc w:val="left"/>
      </w:pPr>
      <w:r>
        <w:rPr>
          <w:rStyle w:val="CharStyle19"/>
        </w:rPr>
        <w:t xml:space="preserve">Действителен с 09.02.2026 </w:t>
      </w:r>
      <w:r>
        <w:rPr>
          <w:rStyle w:val="CharStyle19"/>
          <w:color w:val="5E5E5E"/>
        </w:rPr>
        <w:t xml:space="preserve">по </w:t>
      </w:r>
      <w:r>
        <w:rPr>
          <w:rStyle w:val="CharStyle19"/>
        </w:rPr>
        <w:t>05.05.2027</w:t>
      </w:r>
    </w:p>
    <w:p>
      <w:pPr>
        <w:pStyle w:val="Style23"/>
        <w:keepNext w:val="0"/>
        <w:keepLines w:val="0"/>
        <w:widowControl w:val="0"/>
        <w:shd w:val="clear" w:color="auto" w:fill="auto"/>
        <w:bidi w:val="0"/>
        <w:spacing w:before="0" w:line="240" w:lineRule="auto"/>
        <w:ind w:left="0" w:right="0" w:firstLine="0"/>
        <w:jc w:val="left"/>
      </w:pPr>
      <w:r>
        <w:rPr>
          <w:rStyle w:val="CharStyle24"/>
        </w:rPr>
        <w:t>Исп. Матюшенко А.А., 8(495) 784-75-05</w:t>
      </w:r>
    </w:p>
    <w:sectPr>
      <w:footnotePr>
        <w:pos w:val="pageBottom"/>
        <w:numFmt w:val="decimal"/>
        <w:numRestart w:val="continuous"/>
      </w:footnotePr>
      <w:type w:val="continuous"/>
      <w:pgSz w:w="11900" w:h="16840"/>
      <w:pgMar w:top="1158" w:right="532" w:bottom="1158"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2630" cy="103505"/>
              <wp:wrapNone/>
              <wp:docPr id="4" name="Shape 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2026-25000</w:t>
                          </w:r>
                        </w:p>
                      </w:txbxContent>
                    </wps:txbx>
                    <wps:bodyPr wrap="none" lIns="0" tIns="0" rIns="0" bIns="0">
                      <a:spAutoFit/>
                    </wps:bodyPr>
                  </wps:wsp>
                </a:graphicData>
              </a:graphic>
            </wp:anchor>
          </w:drawing>
        </mc:Choice>
        <mc:Fallback>
          <w:pict>
            <v:shape id="_x0000_s1030" type="#_x0000_t202" style="position:absolute;margin-left:57.200000000000003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22630" cy="103505"/>
              <wp:wrapNone/>
              <wp:docPr id="8" name="Shape 8"/>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2026-25000</w:t>
                          </w:r>
                        </w:p>
                      </w:txbxContent>
                    </wps:txbx>
                    <wps:bodyPr wrap="none" lIns="0" tIns="0" rIns="0" bIns="0">
                      <a:spAutoFit/>
                    </wps:bodyPr>
                  </wps:wsp>
                </a:graphicData>
              </a:graphic>
            </wp:anchor>
          </w:drawing>
        </mc:Choice>
        <mc:Fallback>
          <w:pict>
            <v:shape id="_x0000_s1034" type="#_x0000_t202" style="position:absolute;margin-left:57.200000000000003pt;margin-top:794.70000000000005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2026-25000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720725</wp:posOffset>
              </wp:positionH>
              <wp:positionV relativeFrom="page">
                <wp:posOffset>10214610</wp:posOffset>
              </wp:positionV>
              <wp:extent cx="722630" cy="106680"/>
              <wp:wrapNone/>
              <wp:docPr id="10" name="Shape 10"/>
              <a:graphic xmlns:a="http://schemas.openxmlformats.org/drawingml/2006/main">
                <a:graphicData uri="http://schemas.microsoft.com/office/word/2010/wordprocessingShape">
                  <wps:wsp>
                    <wps:cNvSpPr txBox="1"/>
                    <wps:spPr>
                      <a:xfrm>
                        <a:ext cx="72263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2026-25000</w:t>
                          </w:r>
                        </w:p>
                      </w:txbxContent>
                    </wps:txbx>
                    <wps:bodyPr wrap="none" lIns="0" tIns="0" rIns="0" bIns="0">
                      <a:spAutoFit/>
                    </wps:bodyPr>
                  </wps:wsp>
                </a:graphicData>
              </a:graphic>
            </wp:anchor>
          </w:drawing>
        </mc:Choice>
        <mc:Fallback>
          <w:pict>
            <v:shape id="_x0000_s1036" type="#_x0000_t202" style="position:absolute;margin-left:56.75pt;margin-top:804.30000000000007pt;width:56.899999999999999pt;height:8.4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2026-25000</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726440</wp:posOffset>
              </wp:positionH>
              <wp:positionV relativeFrom="page">
                <wp:posOffset>10092690</wp:posOffset>
              </wp:positionV>
              <wp:extent cx="722630" cy="103505"/>
              <wp:wrapNone/>
              <wp:docPr id="18" name="Shape 18"/>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2026-25000</w:t>
                          </w:r>
                        </w:p>
                      </w:txbxContent>
                    </wps:txbx>
                    <wps:bodyPr wrap="none" lIns="0" tIns="0" rIns="0" bIns="0">
                      <a:spAutoFit/>
                    </wps:bodyPr>
                  </wps:wsp>
                </a:graphicData>
              </a:graphic>
            </wp:anchor>
          </w:drawing>
        </mc:Choice>
        <mc:Fallback>
          <w:pict>
            <v:shape id="_x0000_s1044" type="#_x0000_t202" style="position:absolute;margin-left:57.200000000000003pt;margin-top:794.70000000000005pt;width:56.899999999999999pt;height:8.15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2026-25000</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726440</wp:posOffset>
              </wp:positionH>
              <wp:positionV relativeFrom="page">
                <wp:posOffset>10092690</wp:posOffset>
              </wp:positionV>
              <wp:extent cx="722630" cy="103505"/>
              <wp:wrapNone/>
              <wp:docPr id="22" name="Shape 22"/>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2026-25000</w:t>
                          </w:r>
                        </w:p>
                      </w:txbxContent>
                    </wps:txbx>
                    <wps:bodyPr wrap="none" lIns="0" tIns="0" rIns="0" bIns="0">
                      <a:spAutoFit/>
                    </wps:bodyPr>
                  </wps:wsp>
                </a:graphicData>
              </a:graphic>
            </wp:anchor>
          </w:drawing>
        </mc:Choice>
        <mc:Fallback>
          <w:pict>
            <v:shape id="_x0000_s1048" type="#_x0000_t202" style="position:absolute;margin-left:57.200000000000003pt;margin-top:794.70000000000005pt;width:56.899999999999999pt;height:8.1500000000000004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2026-25000</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726440</wp:posOffset>
              </wp:positionH>
              <wp:positionV relativeFrom="page">
                <wp:posOffset>10092690</wp:posOffset>
              </wp:positionV>
              <wp:extent cx="722630" cy="103505"/>
              <wp:wrapNone/>
              <wp:docPr id="26" name="Shape 26"/>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2026-25000</w:t>
                          </w:r>
                        </w:p>
                      </w:txbxContent>
                    </wps:txbx>
                    <wps:bodyPr wrap="none" lIns="0" tIns="0" rIns="0" bIns="0">
                      <a:spAutoFit/>
                    </wps:bodyPr>
                  </wps:wsp>
                </a:graphicData>
              </a:graphic>
            </wp:anchor>
          </w:drawing>
        </mc:Choice>
        <mc:Fallback>
          <w:pict>
            <v:shape id="_x0000_s1052" type="#_x0000_t202" style="position:absolute;margin-left:57.200000000000003pt;margin-top:794.70000000000005pt;width:56.899999999999999pt;height:8.1500000000000004pt;z-index:-1887440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401955</wp:posOffset>
              </wp:positionV>
              <wp:extent cx="64135" cy="100330"/>
              <wp:wrapNone/>
              <wp:docPr id="2" name="Shape 2"/>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19999999999999pt;margin-top:31.650000000000002pt;width:5.04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3926840</wp:posOffset>
              </wp:positionH>
              <wp:positionV relativeFrom="page">
                <wp:posOffset>401955</wp:posOffset>
              </wp:positionV>
              <wp:extent cx="64135" cy="100330"/>
              <wp:wrapNone/>
              <wp:docPr id="6" name="Shape 6"/>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2" type="#_x0000_t202" style="position:absolute;margin-left:309.19999999999999pt;margin-top:31.650000000000002pt;width:5.0499999999999998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3924300</wp:posOffset>
              </wp:positionH>
              <wp:positionV relativeFrom="page">
                <wp:posOffset>473075</wp:posOffset>
              </wp:positionV>
              <wp:extent cx="64135" cy="69850"/>
              <wp:wrapNone/>
              <wp:docPr id="14" name="Shape 14"/>
              <a:graphic xmlns:a="http://schemas.openxmlformats.org/drawingml/2006/main">
                <a:graphicData uri="http://schemas.microsoft.com/office/word/2010/wordprocessingShape">
                  <wps:wsp>
                    <wps:cNvSpPr txBox="1"/>
                    <wps:spPr>
                      <a:xfrm>
                        <a:ext cx="6413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0" type="#_x0000_t202" style="position:absolute;margin-left:309.pt;margin-top:37.25pt;width:5.0499999999999998pt;height:5.5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3926840</wp:posOffset>
              </wp:positionH>
              <wp:positionV relativeFrom="page">
                <wp:posOffset>401955</wp:posOffset>
              </wp:positionV>
              <wp:extent cx="64135" cy="100330"/>
              <wp:wrapNone/>
              <wp:docPr id="16" name="Shape 16"/>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2" type="#_x0000_t202" style="position:absolute;margin-left:309.19999999999999pt;margin-top:31.650000000000002pt;width:5.0499999999999998pt;height:7.9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3926840</wp:posOffset>
              </wp:positionH>
              <wp:positionV relativeFrom="page">
                <wp:posOffset>401955</wp:posOffset>
              </wp:positionV>
              <wp:extent cx="64135" cy="100330"/>
              <wp:wrapNone/>
              <wp:docPr id="20" name="Shape 20"/>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6" type="#_x0000_t202" style="position:absolute;margin-left:309.19999999999999pt;margin-top:31.650000000000002pt;width:5.0499999999999998pt;height:7.90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3926840</wp:posOffset>
              </wp:positionH>
              <wp:positionV relativeFrom="page">
                <wp:posOffset>401955</wp:posOffset>
              </wp:positionV>
              <wp:extent cx="64135" cy="100330"/>
              <wp:wrapNone/>
              <wp:docPr id="24" name="Shape 24"/>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50" type="#_x0000_t202" style="position:absolute;margin-left:309.19999999999999pt;margin-top:31.650000000000002pt;width:5.0499999999999998pt;height:7.9000000000000004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 (5)_"/>
    <w:basedOn w:val="DefaultParagraphFont"/>
    <w:link w:val="Style16"/>
    <w:rPr>
      <w:rFonts w:ascii="Georgia" w:eastAsia="Georgia" w:hAnsi="Georgia" w:cs="Georgia"/>
      <w:b w:val="0"/>
      <w:bCs w:val="0"/>
      <w:i w:val="0"/>
      <w:iCs w:val="0"/>
      <w:smallCaps w:val="0"/>
      <w:strike w:val="0"/>
      <w:color w:val="EBEBEB"/>
      <w:sz w:val="12"/>
      <w:szCs w:val="12"/>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34343"/>
      <w:sz w:val="12"/>
      <w:szCs w:val="12"/>
      <w:u w:val="none"/>
    </w:rPr>
  </w:style>
  <w:style w:type="character" w:customStyle="1" w:styleId="CharStyle24">
    <w:name w:val="Body text (4)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Body text (5)"/>
    <w:basedOn w:val="Normal"/>
    <w:link w:val="CharStyle17"/>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18">
    <w:name w:val="Body text (2)"/>
    <w:basedOn w:val="Normal"/>
    <w:link w:val="CharStyle19"/>
    <w:pPr>
      <w:widowControl w:val="0"/>
      <w:shd w:val="clear" w:color="auto" w:fill="auto"/>
      <w:spacing w:line="266" w:lineRule="auto"/>
      <w:ind w:left="3800" w:firstLine="20"/>
    </w:pPr>
    <w:rPr>
      <w:rFonts w:ascii="Arial" w:eastAsia="Arial" w:hAnsi="Arial" w:cs="Arial"/>
      <w:b w:val="0"/>
      <w:bCs w:val="0"/>
      <w:i w:val="0"/>
      <w:iCs w:val="0"/>
      <w:smallCaps w:val="0"/>
      <w:strike w:val="0"/>
      <w:color w:val="434343"/>
      <w:sz w:val="12"/>
      <w:szCs w:val="12"/>
      <w:u w:val="none"/>
    </w:rPr>
  </w:style>
  <w:style w:type="paragraph" w:customStyle="1" w:styleId="Style23">
    <w:name w:val="Body text (4)"/>
    <w:basedOn w:val="Normal"/>
    <w:link w:val="CharStyle24"/>
    <w:pPr>
      <w:widowControl w:val="0"/>
      <w:shd w:val="clear" w:color="auto" w:fill="auto"/>
      <w:spacing w:after="3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png"/><Relationship Id="rId14" Type="http://schemas.openxmlformats.org/officeDocument/2006/relationships/image" Target="media/image2.pn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image" Target="media/image3.jpeg"/><Relationship Id="rId24" Type="http://schemas.openxmlformats.org/officeDocument/2006/relationships/image" Target="media/image3.jpeg" TargetMode="External"/><Relationship Id="rId25" Type="http://schemas.openxmlformats.org/officeDocument/2006/relationships/image" Target="media/image4.jpeg"/><Relationship Id="rId26" Type="http://schemas.openxmlformats.org/officeDocument/2006/relationships/image" Target="media/image4.jpeg" TargetMode="External"/><Relationship Id="rId27" Type="http://schemas.openxmlformats.org/officeDocument/2006/relationships/image" Target="media/image5.jpeg"/><Relationship Id="rId28" Type="http://schemas.openxmlformats.org/officeDocument/2006/relationships/image" Target="media/image5.jpeg" TargetMode="External"/></Relationships>
</file>