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79" w:right="550" w:bottom="1225" w:left="113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139700</wp:posOffset>
                </wp:positionV>
                <wp:extent cx="2670175" cy="263334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0175" cy="2633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color w:val="476197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76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color w:val="476197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color w:val="476197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color w:val="476197"/>
                                <w:sz w:val="19"/>
                                <w:szCs w:val="19"/>
                              </w:rPr>
                              <w:t>Федеральной антимонопольной службы</w:t>
                              <w:br/>
                              <w:t>по Сахалинской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6"/>
                                <w:color w:val="476197"/>
                                <w:sz w:val="16"/>
                                <w:szCs w:val="16"/>
                              </w:rPr>
                              <w:t>пр. Победы, 24, г. Южно-Сахалинск, 693007</w:t>
                              <w:br/>
                              <w:t>тел. (4242) 55-70-14, факс (4242) 55-70-26</w:t>
                              <w:br/>
                            </w:r>
                            <w:r>
                              <w:rPr>
                                <w:rStyle w:val="CharStyle6"/>
                                <w:color w:val="476197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"mailto:to65@fas.gov.ru"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color w:val="476197"/>
                                <w:sz w:val="16"/>
                                <w:szCs w:val="16"/>
                                <w:lang w:val="en-US" w:eastAsia="en-US"/>
                              </w:rPr>
                              <w:t>to65@fas.gov.ru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9.0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  <w:u w:val="single"/>
                              </w:rPr>
                              <w:t>5.2026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  <w:u w:val="single"/>
                              </w:rPr>
                              <w:t>КС/1966/2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57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color w:val="476197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5pt;margin-top:11.pt;width:210.25pt;height:207.34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color w:val="476197"/>
                          <w:sz w:val="17"/>
                          <w:szCs w:val="17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76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color w:val="476197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color w:val="476197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color w:val="476197"/>
                          <w:sz w:val="19"/>
                          <w:szCs w:val="19"/>
                        </w:rPr>
                        <w:t>Федеральной антимонопольной службы</w:t>
                        <w:br/>
                        <w:t>по Сахалинской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6"/>
                          <w:color w:val="476197"/>
                          <w:sz w:val="16"/>
                          <w:szCs w:val="16"/>
                        </w:rPr>
                        <w:t>пр. Победы, 24, г. Южно-Сахалинск, 693007</w:t>
                        <w:br/>
                        <w:t>тел. (4242) 55-70-14, факс (4242) 55-70-26</w:t>
                        <w:br/>
                      </w:r>
                      <w:r>
                        <w:rPr>
                          <w:rStyle w:val="CharStyle6"/>
                          <w:color w:val="476197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"mailto:to65@fas.gov.ru"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color w:val="476197"/>
                          <w:sz w:val="16"/>
                          <w:szCs w:val="16"/>
                          <w:lang w:val="en-US" w:eastAsia="en-US"/>
                        </w:rPr>
                        <w:t>to65@fas.gov.ru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both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6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>9.0</w:t>
                      </w:r>
                      <w:r>
                        <w:rPr>
                          <w:rStyle w:val="CharStyle6"/>
                          <w:sz w:val="30"/>
                          <w:szCs w:val="30"/>
                          <w:u w:val="single"/>
                        </w:rPr>
                        <w:t>5.2026</w:t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6"/>
                          <w:sz w:val="30"/>
                          <w:szCs w:val="30"/>
                          <w:u w:val="single"/>
                        </w:rPr>
                        <w:t>КС/1966/2</w:t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>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57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color w:val="476197"/>
                          <w:sz w:val="18"/>
                          <w:szCs w:val="18"/>
                        </w:rPr>
                        <w:t xml:space="preserve">На №  от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sz w:val="24"/>
                          <w:szCs w:val="24"/>
                        </w:rPr>
                        <w:t>решение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rStyle w:val="CharStyle17"/>
          <w:b/>
          <w:bCs/>
        </w:rPr>
        <w:t>Заявитель: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rStyle w:val="CharStyle14"/>
        </w:rPr>
        <w:t>Общество с ограниченной ответственностью «Единый центр утилизации»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rStyle w:val="CharStyle14"/>
        </w:rPr>
        <w:t>620014, Свердловская область, г. Екатеринбург, ул. Чернышевского, д. 16, офис 408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fldChar w:fldCharType="begin"/>
      </w:r>
      <w:r>
        <w:rPr/>
        <w:instrText> HYPERLINK "mailto:info@edincentrutil.ru" </w:instrText>
      </w:r>
      <w:r>
        <w:fldChar w:fldCharType="separate"/>
      </w:r>
      <w:r>
        <w:rPr>
          <w:rStyle w:val="CharStyle14"/>
          <w:lang w:val="en-US" w:eastAsia="en-US"/>
        </w:rPr>
        <w:t>info@edincentrutil.ru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80" w:right="0" w:firstLine="0"/>
        <w:jc w:val="left"/>
      </w:pPr>
      <w:r>
        <w:fldChar w:fldCharType="begin"/>
      </w:r>
      <w:r>
        <w:rPr/>
        <w:instrText> HYPERLINK "mailto:199@edincentrutil.ru" </w:instrText>
      </w:r>
      <w:r>
        <w:fldChar w:fldCharType="separate"/>
      </w:r>
      <w:r>
        <w:rPr>
          <w:rStyle w:val="CharStyle14"/>
          <w:lang w:val="en-US" w:eastAsia="en-US"/>
        </w:rPr>
        <w:t>199@edincentrutil.ru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" w:name="bookmark2"/>
      <w:r>
        <w:rPr>
          <w:rStyle w:val="CharStyle17"/>
          <w:b/>
          <w:bCs/>
        </w:rPr>
        <w:t>Заказчик: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80" w:right="0" w:firstLine="0"/>
        <w:jc w:val="left"/>
      </w:pPr>
      <w:r>
        <w:rPr>
          <w:rStyle w:val="CharStyle14"/>
        </w:rPr>
        <w:t xml:space="preserve">Областное казенное учреждение «Управление обеспечения мероприятий в области гражданской обороны, защиты от чрезвычайных ситуаций и пожарной безопасности Сахалинской области» 693020, Сахалинская обл, г. Южно- Сахалинск, ул. Ленина, д. 129 </w:t>
      </w:r>
      <w:r>
        <w:fldChar w:fldCharType="begin"/>
      </w:r>
      <w:r>
        <w:rPr/>
        <w:instrText> HYPERLINK "mailto:oku_mchs_65@mail.ru" </w:instrText>
      </w:r>
      <w:r>
        <w:fldChar w:fldCharType="separate"/>
      </w:r>
      <w:r>
        <w:rPr>
          <w:rStyle w:val="CharStyle14"/>
          <w:lang w:val="en-US" w:eastAsia="en-US"/>
        </w:rPr>
        <w:t>oku_mchs_65@mail.ru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rStyle w:val="CharStyle14"/>
          <w:b/>
          <w:bCs/>
        </w:rPr>
        <w:t xml:space="preserve">Уполномоченный орган (учреждение): </w:t>
      </w:r>
      <w:r>
        <w:rPr>
          <w:rStyle w:val="CharStyle14"/>
        </w:rPr>
        <w:t>Государственное казенное учреждение «Центр государственных закупок Сахалинской области»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rStyle w:val="CharStyle14"/>
        </w:rPr>
        <w:t>693007, Сахалинская обл.,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rStyle w:val="CharStyle14"/>
        </w:rPr>
        <w:t>г. ЮжноСахалинск, ул. Комсомольская, д 192Б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80" w:right="0" w:firstLine="0"/>
        <w:jc w:val="left"/>
      </w:pPr>
      <w:r>
        <w:fldChar w:fldCharType="begin"/>
      </w:r>
      <w:r>
        <w:rPr/>
        <w:instrText> HYPERLINK "mailto:cgz@sakhalin.gov.ru" </w:instrText>
      </w:r>
      <w:r>
        <w:fldChar w:fldCharType="separate"/>
      </w:r>
      <w:r>
        <w:rPr>
          <w:rStyle w:val="CharStyle14"/>
          <w:lang w:val="en-US" w:eastAsia="en-US"/>
        </w:rPr>
        <w:t>cgz@sakhalin.gov.ru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rStyle w:val="CharStyle17"/>
          <w:b/>
          <w:bCs/>
        </w:rPr>
        <w:t>Оператор электронной площадки: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1080" w:right="0" w:firstLine="0"/>
        <w:jc w:val="left"/>
      </w:pPr>
      <w:r>
        <w:rPr>
          <w:rStyle w:val="CharStyle14"/>
        </w:rPr>
        <w:t xml:space="preserve">АО «ЕЭТП»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4"/>
          <w:lang w:val="en-US" w:eastAsia="en-US"/>
        </w:rPr>
        <w:t>info@roseltorg.ru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  <w:b/>
          <w:bCs/>
        </w:rPr>
        <w:t>по делу № 065/06/105-258/2026 о нарушении законодательства</w:t>
        <w:br/>
        <w:t>Российской Федерации 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0</wp:posOffset>
                </wp:positionV>
                <wp:extent cx="1231265" cy="24384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14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0;width:96.950000000000003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14 мая 2026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</w:rPr>
        <w:t>г. Южно-Сахалинск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200" w:right="0" w:firstLine="7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51" w:bottom="1313" w:left="5335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Комиссия Управления Федеральной антимонопольной службы по Сахалинской области по контролю в сфере закупок (далее – Комиссия) в составе: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50" w:bottom="1225" w:left="1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Председателя Комиссии: Солонина К.В.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врио руководителя Управления Федеральной антимонопольной службы по Сахалинской области;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Осташовой Е.Э.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начальника отдела контроля государственных закупок Управления Федеральной антимонопольной службы по Сахалинской области;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Кулкиной Н.Л.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старшего государственного инспектора отдела контроля государственных закупок Управления Федеральной антимонопольной службы по Сахалинской области;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жалобу общества с ограниченной ответственностью «Единый центр утилизации» (ИНН </w:t>
      </w:r>
      <w:r>
        <w:rPr>
          <w:rStyle w:val="CharStyle14"/>
          <w:lang w:val="en-US" w:eastAsia="en-US"/>
        </w:rPr>
        <w:t xml:space="preserve">6671100741) </w:t>
      </w:r>
      <w:r>
        <w:rPr>
          <w:rStyle w:val="CharStyle14"/>
        </w:rPr>
        <w:t xml:space="preserve">на положения извещения утвержденное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Областным казенным учреждением «Управление обеспечения мероприятий в области гражданской обороны, защиты от чрезвычайных ситуаций и пожарной безопасности Сахалинской области» (ИНН </w:t>
      </w:r>
      <w:r>
        <w:rPr>
          <w:rStyle w:val="CharStyle14"/>
          <w:lang w:val="en-US" w:eastAsia="en-US"/>
        </w:rPr>
        <w:t xml:space="preserve">6501156338) </w:t>
      </w:r>
      <w:r>
        <w:rPr>
          <w:rStyle w:val="CharStyle14"/>
        </w:rPr>
        <w:t xml:space="preserve">при проведении электронного аукциона по объекту: ««Оказание услуг по сбору, транспортированию, обработке, утилизации и обезвреживанию противогазов в комплекте и средств индивидуальной защиты, глаз, рук, органов слуха в смеси, утративших потребительские свойства» (извещение </w:t>
      </w:r>
      <w:r>
        <w:rPr>
          <w:rStyle w:val="CharStyle14"/>
          <w:lang w:val="en-US" w:eastAsia="en-US"/>
        </w:rPr>
        <w:t>№ 0361200015026001958);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rStyle w:val="CharStyle17"/>
          <w:b/>
          <w:bCs/>
        </w:rPr>
        <w:t>УСТАНОВИЛА: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08.05.2026 </w:t>
      </w:r>
      <w:r>
        <w:rPr>
          <w:rStyle w:val="CharStyle14"/>
        </w:rPr>
        <w:t xml:space="preserve">в Управление Федеральной антимонопольной службы по Сахалинской области поступила жалоба заявителя на положения извещения, в которых допущены нарушения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системе). Согласно доводам жалобы Заказчику необходимо ежегодно предоставлять статистическую отчетность по форме 2ТП(отходы), также при осуществлении закупки установлены излишние требования к лицензии, кроме того Заказчиком в извещении установлены иные требования к участнику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Уведомлением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требованием №ЕО/1867/26 от </w:t>
      </w:r>
      <w:r>
        <w:rPr>
          <w:rStyle w:val="CharStyle14"/>
          <w:lang w:val="en-US" w:eastAsia="en-US"/>
        </w:rPr>
        <w:t xml:space="preserve">08.05.2026 </w:t>
      </w:r>
      <w:r>
        <w:rPr>
          <w:rStyle w:val="CharStyle14"/>
        </w:rPr>
        <w:t xml:space="preserve">рассмотрение жалобы по существу назначено на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00 </w:t>
      </w:r>
      <w:r>
        <w:rPr>
          <w:rStyle w:val="CharStyle14"/>
        </w:rPr>
        <w:t>минут.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</w:t>
      </w:r>
      <w:r>
        <w:rPr>
          <w:rStyle w:val="CharStyle14"/>
          <w:lang w:val="en-US" w:eastAsia="en-US"/>
        </w:rPr>
        <w:t xml:space="preserve">4, 5, 18, 30, 42, 49, 54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59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системе, заказчик устанавливает к участникам закупки требование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подпунктом </w:t>
      </w:r>
      <w:r>
        <w:rPr>
          <w:rStyle w:val="CharStyle14"/>
          <w:lang w:val="en-US" w:eastAsia="en-US"/>
        </w:rPr>
        <w:t xml:space="preserve">4.1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Закона о контрактной системе поставщиком (подрядчиком, исполнителем) признается участник закупки, с которым в соответствии с Законом о контрактной системе заключен контракт.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302" w:lineRule="auto"/>
        <w:ind w:left="0" w:right="0" w:firstLine="720"/>
        <w:jc w:val="both"/>
        <w:rPr>
          <w:sz w:val="24"/>
          <w:szCs w:val="24"/>
        </w:rPr>
        <w:sectPr>
          <w:footerReference w:type="default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05" w:right="493" w:bottom="56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Абзацем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Гражданского кодекса Российской Федерации предусмотрено, что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</w:t>
      </w:r>
      <w:r>
        <w:rPr>
          <w:rStyle w:val="CharStyle14"/>
          <w:sz w:val="24"/>
          <w:szCs w:val="24"/>
          <w:lang w:val="en-US" w:eastAsia="en-US"/>
        </w:rPr>
        <w:t>2026-2232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саморегулируемой организацией свидетельства о допуске к определенном виду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30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04.05.2011 N 99- </w:t>
      </w:r>
      <w:r>
        <w:rPr>
          <w:rStyle w:val="CharStyle14"/>
        </w:rPr>
        <w:t xml:space="preserve">ФЗ "О лицензировании отдельных видов деятельности"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Закон о лицензировании) лицензированию подлежит такой вид деятельности как деятельность по сбору, транспортированию, обработке, утилизации, обезвреживанию, размещению 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>классов опасности.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21 </w:t>
      </w:r>
      <w:r>
        <w:rPr>
          <w:rStyle w:val="CharStyle14"/>
        </w:rPr>
        <w:t>Закона о лицензировании лицензирующие органы формируют открытый и общедоступный государственный информационный ресурс, содержащий сведения из реестра лицензий, из положений о лицензировании конкретных видов деятельности, технических регламентов и иных нормативных правовых актов Российской Федерации, устанавливающих обязательные требования к лицензируемым видам деятельности (за исключением случаев,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21 </w:t>
      </w:r>
      <w:r>
        <w:rPr>
          <w:rStyle w:val="CharStyle14"/>
        </w:rPr>
        <w:t>Закона о лицензировании лицензирующие органы формируют и ведут в электронном виде реестры лицензий на конкретные виды деятельности, лицензирование которых они осуществляют, в порядке, установленном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21 </w:t>
      </w:r>
      <w:r>
        <w:rPr>
          <w:rStyle w:val="CharStyle14"/>
        </w:rPr>
        <w:t xml:space="preserve">Закона о лицензировании запись в реестре лицензий лицензирующего органа о предоставлении лицензии на деятельность по сбору, транспортированию, обработке, утилизации, обезвреживанию, размещению 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 xml:space="preserve">классов опасности содержит сведения о видах 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 xml:space="preserve">классов опасности и (или) группах, подгруппах 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 xml:space="preserve">классов опасности с указанием классов опасности видов отходов в соответствующих группах, подгруппах, в отношении которых предоставляется лицензия в соответствии с заявлением о предоставлении лицензии, предусмотренным статьей </w:t>
      </w:r>
      <w:r>
        <w:rPr>
          <w:rStyle w:val="CharStyle14"/>
          <w:lang w:val="en-US" w:eastAsia="en-US"/>
        </w:rPr>
        <w:t xml:space="preserve">13 </w:t>
      </w:r>
      <w:r>
        <w:rPr>
          <w:rStyle w:val="CharStyle14"/>
        </w:rPr>
        <w:t>Закона о лицензировании, и о соответствующих видам отходов и (или) группам, подгруппам отходов видах деятельности.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уполномоченным учреждением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Государственным казенным учреждением «Центр государственных закупок Сахалинской области» размещено извещение о проведении электронного аукциона по объекту: «Оказание услуг по сбору, транспортированию, обработке, утилизации и обезвреживанию противогазов в комплекте и средств индивидуальной защиты, глаз, рук, органов слуха в смеси, утративших потребительские свойства».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– 1 999 961 </w:t>
      </w:r>
      <w:r>
        <w:rPr>
          <w:rStyle w:val="CharStyle14"/>
        </w:rPr>
        <w:t xml:space="preserve">рублей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копеек.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описания объекта закупки объектом закупки является услуг по сбору, транспортированию, обработке, утилизации и обезвреживанию противогазов в комплекте и средств индивидуальной защиты, глаз, рук, органов слуха в смеси, утративших потребительские свойства (противогаз гражданский (ГП </w:t>
      </w:r>
      <w:r>
        <w:rPr>
          <w:rStyle w:val="CharStyle14"/>
          <w:lang w:val="en-US" w:eastAsia="en-US"/>
        </w:rPr>
        <w:t xml:space="preserve">– 5,7), </w:t>
      </w:r>
      <w:r>
        <w:rPr>
          <w:rStyle w:val="CharStyle14"/>
        </w:rPr>
        <w:t>камера защитная детская (КЗД).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Извещением об осуществлении закупки предусмотрено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110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наличие действующей лицензии на право осуществления деятельности по сбору, транспортированию, обработке, утилизации, обезвреживанию, размещению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4"/>
        </w:rPr>
        <w:t xml:space="preserve">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 xml:space="preserve">классов опасности, выданной в соответствие с Федеральным Законом от </w:t>
      </w:r>
      <w:r>
        <w:rPr>
          <w:rStyle w:val="CharStyle14"/>
          <w:lang w:val="en-US" w:eastAsia="en-US"/>
        </w:rPr>
        <w:t xml:space="preserve">04.05.2011 № </w:t>
      </w:r>
      <w:r>
        <w:rPr>
          <w:rStyle w:val="CharStyle14"/>
        </w:rPr>
        <w:t xml:space="preserve">99-ФЗ «О лицензировании отдельных видов деятельности», Федеральным Законом от </w:t>
      </w:r>
      <w:r>
        <w:rPr>
          <w:rStyle w:val="CharStyle14"/>
          <w:lang w:val="en-US" w:eastAsia="en-US"/>
        </w:rPr>
        <w:t xml:space="preserve">24.06.1998 № </w:t>
      </w:r>
      <w:r>
        <w:rPr>
          <w:rStyle w:val="CharStyle14"/>
        </w:rPr>
        <w:t>89-ФЗ «Об отходах производства и потребления».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 xml:space="preserve">В приложении к лицензии в составе лицензируемого вида деятельности должно содержаться право на: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сбор,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обработку,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обезвреживание,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утилизацию отходов </w:t>
      </w:r>
      <w:r>
        <w:rPr>
          <w:rStyle w:val="CharStyle14"/>
          <w:lang w:val="en-US" w:eastAsia="en-US"/>
        </w:rPr>
        <w:t xml:space="preserve">IV </w:t>
      </w:r>
      <w:r>
        <w:rPr>
          <w:rStyle w:val="CharStyle14"/>
        </w:rPr>
        <w:t>класса опасности.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 xml:space="preserve">В приложении к лицензии также должен быть указан код ФККО: </w:t>
      </w:r>
      <w:r>
        <w:rPr>
          <w:rStyle w:val="CharStyle14"/>
          <w:lang w:val="en-US" w:eastAsia="en-US"/>
        </w:rPr>
        <w:t xml:space="preserve">- 4 91 102 21 52 4 </w:t>
      </w:r>
      <w:r>
        <w:rPr>
          <w:rStyle w:val="CharStyle14"/>
        </w:rPr>
        <w:t xml:space="preserve">(противогазы в комплекте, утратившие потребительские свойства) </w:t>
      </w:r>
      <w:r>
        <w:rPr>
          <w:rStyle w:val="CharStyle14"/>
          <w:lang w:val="en-US" w:eastAsia="en-US"/>
        </w:rPr>
        <w:t xml:space="preserve">- 4 91 105 11 52 4 </w:t>
      </w:r>
      <w:r>
        <w:rPr>
          <w:rStyle w:val="CharStyle14"/>
        </w:rPr>
        <w:t>(средства индивидуальной защиты глаз, рук, органов слуха в смеси, утратившие потребительские свойства).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 xml:space="preserve">Документом, подтверждающим соответствие участника аукциона требованиям, установленное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44-ФЗ является: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 xml:space="preserve">копия действующей лицензии и/или выписка из реестра лицензий и/или информация из реестра лицензий на право осуществления деятельности по сбору, транспортированию, обработке, утилизации, обезвреживанию, размещению отходов </w:t>
      </w:r>
      <w:r>
        <w:rPr>
          <w:rStyle w:val="CharStyle14"/>
          <w:lang w:val="en-US" w:eastAsia="en-US"/>
        </w:rPr>
        <w:t xml:space="preserve">I - IV </w:t>
      </w:r>
      <w:r>
        <w:rPr>
          <w:rStyle w:val="CharStyle14"/>
        </w:rPr>
        <w:t xml:space="preserve">классов опасности, выданной в соответствие с Федеральным Законом от </w:t>
      </w:r>
      <w:r>
        <w:rPr>
          <w:rStyle w:val="CharStyle14"/>
          <w:lang w:val="en-US" w:eastAsia="en-US"/>
        </w:rPr>
        <w:t xml:space="preserve">04.05.2011 № </w:t>
      </w:r>
      <w:r>
        <w:rPr>
          <w:rStyle w:val="CharStyle14"/>
        </w:rPr>
        <w:t xml:space="preserve">99-ФЗ «О лицензировании отдельных видов деятельности», Федеральным Законом от </w:t>
      </w:r>
      <w:r>
        <w:rPr>
          <w:rStyle w:val="CharStyle14"/>
          <w:lang w:val="en-US" w:eastAsia="en-US"/>
        </w:rPr>
        <w:t xml:space="preserve">24.06.1998 № </w:t>
      </w:r>
      <w:r>
        <w:rPr>
          <w:rStyle w:val="CharStyle14"/>
        </w:rPr>
        <w:t>89-ФЗ «Об отходах производства и потребления».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 xml:space="preserve">Вместе тем Заявитель не согласен с установленным требованием, полагает, необходимым установления требований к исполнителю в части наличия в приложении к лицензии в составе лицензируемого вида деятельности право на: сбор, транспортирование, обработку и (или) обезвреживание и (или) утилизацию отходов </w:t>
      </w:r>
      <w:r>
        <w:rPr>
          <w:rStyle w:val="CharStyle14"/>
          <w:lang w:val="en-US" w:eastAsia="en-US"/>
        </w:rPr>
        <w:t xml:space="preserve">IV </w:t>
      </w:r>
      <w:r>
        <w:rPr>
          <w:rStyle w:val="CharStyle14"/>
        </w:rPr>
        <w:t>класса опасности.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>Комиссия Сахалинского УФАС России отмечает, что законодательством не регламентируется, какие отходы подлежат обезвреживанию, какие утилизации, а какие утилизации и обезвреживанию.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14"/>
        </w:rPr>
        <w:t xml:space="preserve">Заказчик пояснил, что отход «противогазы в комплекте, утратившие потребительские свойства» (КОД ФККО </w:t>
      </w:r>
      <w:r>
        <w:rPr>
          <w:rStyle w:val="CharStyle14"/>
          <w:lang w:val="en-US" w:eastAsia="en-US"/>
        </w:rPr>
        <w:t xml:space="preserve">4 91 102 21 524) - </w:t>
      </w:r>
      <w:r>
        <w:rPr>
          <w:rStyle w:val="CharStyle14"/>
        </w:rPr>
        <w:t xml:space="preserve">является много компонентным отходом (резина, стекло, фильтр, упаковка и т.д.). В связи с этим данный отход подлежит обработке, то есть предварительной подготовке отходов к дальнейшей утилизации, включая их сортировку, разборку, очистку (статья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24.06.1998 № </w:t>
      </w:r>
      <w:r>
        <w:rPr>
          <w:rStyle w:val="CharStyle14"/>
        </w:rPr>
        <w:t>89-ФЗ), после чего отход частично идет на утилизацию, а частично на обезвреживание.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5" w:bottom="617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Согласно пояснениям оказание услуг, являющихся предметом закупки не «предполагает одновременное осуществление не зависящих между собой этапов обращения с отходами», а подразумевает собой порядок последовательно оказываемых услуг. Так, согласно терминологии (ст.1 Федерального закона №89-ФЗ) отход «противогазы в комплекте, утратившие потребительские свойства» (КОД ФККО </w:t>
      </w:r>
      <w:r>
        <w:rPr>
          <w:rStyle w:val="CharStyle14"/>
          <w:lang w:val="en-US" w:eastAsia="en-US"/>
        </w:rPr>
        <w:t xml:space="preserve">4 91 102 21 524) </w:t>
      </w:r>
      <w:r>
        <w:rPr>
          <w:rStyle w:val="CharStyle14"/>
        </w:rPr>
        <w:t xml:space="preserve">может подлежать сначала обработке (предварительной подготовке отходов к дальнейшей утилизации, включая их сортировку, разборку, очистку), затем утилизации (которая подразумевает собой использование отходов для производства товаров (продукции), выполнения работ, оказания услуг, включая повторное применение отходов, в том числе повторное применение отходов по прямому назначению (рециклинг), их возврат в производственный цикл после соответствующей подготовки (регенерация), извлечение полезных компонентов для их повторного применения (рекуперация)), а так как данный отход не может быть </w:t>
      </w:r>
      <w:r>
        <w:rPr>
          <w:rStyle w:val="CharStyle14"/>
          <w:lang w:val="en-US" w:eastAsia="en-US"/>
        </w:rPr>
        <w:t xml:space="preserve">100% </w:t>
      </w:r>
      <w:r>
        <w:rPr>
          <w:rStyle w:val="CharStyle14"/>
        </w:rPr>
        <w:t xml:space="preserve">утилизирован, то часть, </w:t>
      </w:r>
      <w:r>
        <w:rPr>
          <w:rStyle w:val="CharStyle14"/>
          <w:sz w:val="24"/>
          <w:szCs w:val="24"/>
          <w:lang w:val="en-US" w:eastAsia="en-US"/>
        </w:rPr>
        <w:t>2026-2232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которая не утилизируется идёт на обезвреживание (уменьшение массы отходов, изменение их состава, физических и химических свойств (включая сжигание, за исключением сжигания, связанного с использованием твердых коммунальных отходов в качестве возобновляемого источника энергии (вторичных энергетических ресурсов), и (или) обеззараживание на специализированных установках) в целях снижения негативного воздействия отходов на здоровье человека и окружающую среду).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Таким образом потребность заказчика в услугах, являющихся предметом закупки логична, выполнима и не противоречит законодательству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На основании вышеизложенного, Комиссия Управления пришла к выводу, что требования, установленные Заказчиком не противоречат требованиям законодательства Российской Федерации, довод Заявителя признается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Согласно второго довода Заявителя, что Заказчику необходимо ежегодно предоставлять статистическую отчетность по форме 2ТП (отходы), но при этом указывая, что «не предоставляется возможным указание двух и более конечных операций в отношении одного отхода»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требованиями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24.06.1998 № </w:t>
      </w:r>
      <w:r>
        <w:rPr>
          <w:rStyle w:val="CharStyle14"/>
        </w:rPr>
        <w:t xml:space="preserve">89-ФЗ «Об отходах производства и потребления» юридические лица, осуществляющие в области обращения с отходами, обязаны представлять отчетность в порядке и в сроки определенные приказом Росстата от </w:t>
      </w:r>
      <w:r>
        <w:rPr>
          <w:rStyle w:val="CharStyle14"/>
          <w:lang w:val="en-US" w:eastAsia="en-US"/>
        </w:rPr>
        <w:t xml:space="preserve">06.11.2025 №614 </w:t>
      </w:r>
      <w:r>
        <w:rPr>
          <w:rStyle w:val="CharStyle14"/>
        </w:rPr>
        <w:t>«Сведения об образовании, обработке, утилизации, обезвреживании, размещении отходов производства и потребления».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Однако заявителем не приводится ссылок из вышеуказанного приказом Росстата от </w:t>
      </w:r>
      <w:r>
        <w:rPr>
          <w:rStyle w:val="CharStyle14"/>
          <w:lang w:val="en-US" w:eastAsia="en-US"/>
        </w:rPr>
        <w:t xml:space="preserve">06.11.2025 №614, </w:t>
      </w:r>
      <w:r>
        <w:rPr>
          <w:rStyle w:val="CharStyle14"/>
        </w:rPr>
        <w:t>которые напрямую запрещают «указание двух и более конечных операций в отношении одного отхода» или из которых можно сделать такой вывод Таким образом довод Заявителя не находит своего 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4"/>
        </w:rPr>
        <w:t xml:space="preserve">Учитывая изложенное, Комиссия,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rStyle w:val="CharStyle17"/>
          <w:b/>
          <w:bCs/>
        </w:rPr>
        <w:t>РЕШИЛА: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4"/>
        </w:rPr>
        <w:t xml:space="preserve">Признать жалобу общества с ограниченной ответственностью «Единый центр утилизации» (ИНН </w:t>
      </w:r>
      <w:r>
        <w:rPr>
          <w:rStyle w:val="CharStyle14"/>
          <w:lang w:val="en-US" w:eastAsia="en-US"/>
        </w:rPr>
        <w:t xml:space="preserve">6671100741) </w:t>
      </w:r>
      <w:r>
        <w:rPr>
          <w:rStyle w:val="CharStyle14"/>
        </w:rPr>
        <w:t xml:space="preserve">на положения извещения утвержденное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Областным казенным учреждением «Управление обеспечения мероприятий в области гражданской обороны, защиты от чрезвычайных ситуаций и пожарной безопасности Сахалинской области» (ИНН </w:t>
      </w:r>
      <w:r>
        <w:rPr>
          <w:rStyle w:val="CharStyle14"/>
          <w:lang w:val="en-US" w:eastAsia="en-US"/>
        </w:rPr>
        <w:t xml:space="preserve">6501156338) </w:t>
      </w:r>
      <w:r>
        <w:rPr>
          <w:rStyle w:val="CharStyle14"/>
        </w:rPr>
        <w:t xml:space="preserve">при проведении электронного аукциона по объекту: ««Оказание услуг по сбору, транспортированию, обработке, утилизации и обезвреживанию противогазов в комплекте и средств индивидуальной защиты, глаз, рук, органов слуха в смеси, утративших потребительские свойства» (извещение </w:t>
      </w:r>
      <w:r>
        <w:rPr>
          <w:rStyle w:val="CharStyle14"/>
          <w:lang w:val="en-US" w:eastAsia="en-US"/>
        </w:rPr>
        <w:t xml:space="preserve">№ 0361200015026001958) —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1105" w:left="1106" w:header="677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framePr w:w="2875" w:h="394" w:wrap="none" w:hAnchor="page" w:x="116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Председатель комиссии</w:t>
      </w:r>
    </w:p>
    <w:p>
      <w:pPr>
        <w:pStyle w:val="Style20"/>
        <w:keepNext w:val="0"/>
        <w:keepLines w:val="0"/>
        <w:framePr w:w="2021" w:h="158" w:wrap="none" w:hAnchor="page" w:x="4909" w:y="78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framePr w:w="2712" w:h="408" w:wrap="none" w:hAnchor="page" w:x="4846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680" w:h="394" w:wrap="none" w:hAnchor="page" w:x="963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14"/>
          <w:sz w:val="28"/>
          <w:szCs w:val="28"/>
        </w:rPr>
        <w:t>К.В . Солонин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702" behindDoc="1" locked="0" layoutInCell="1" allowOverlap="1">
            <wp:simplePos x="0" y="0"/>
            <wp:positionH relativeFrom="page">
              <wp:posOffset>2625725</wp:posOffset>
            </wp:positionH>
            <wp:positionV relativeFrom="margin">
              <wp:posOffset>57785</wp:posOffset>
            </wp:positionV>
            <wp:extent cx="389890" cy="56070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74" w:bottom="976" w:left="1106" w:header="734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Кому </w:t>
      </w:r>
      <w:r>
        <w:rPr>
          <w:rStyle w:val="CharStyle6"/>
          <w:rFonts w:ascii="Arial" w:eastAsia="Arial" w:hAnsi="Arial" w:cs="Arial"/>
          <w:color w:val="555555"/>
          <w:sz w:val="12"/>
          <w:szCs w:val="12"/>
        </w:rPr>
        <w:t xml:space="preserve">выдан: </w:t>
      </w:r>
      <w:r>
        <w:rPr>
          <w:rStyle w:val="CharStyle6"/>
          <w:rFonts w:ascii="Arial" w:eastAsia="Arial" w:hAnsi="Arial" w:cs="Arial"/>
          <w:sz w:val="12"/>
          <w:szCs w:val="12"/>
        </w:rPr>
        <w:t>Солонин Константин Викторович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04040"/>
          <w:sz w:val="12"/>
          <w:szCs w:val="12"/>
          <w:lang w:val="en-US" w:eastAsia="en-US"/>
        </w:rPr>
        <w:t>1DE076B81F3E9065BF860C949BB7D561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400" w:bottom="1293" w:left="4202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Действителен с 18.05.2026 </w:t>
      </w:r>
      <w:r>
        <w:rPr>
          <w:rStyle w:val="CharStyle6"/>
          <w:rFonts w:ascii="Arial" w:eastAsia="Arial" w:hAnsi="Arial" w:cs="Arial"/>
          <w:color w:val="555555"/>
          <w:sz w:val="12"/>
          <w:szCs w:val="12"/>
        </w:rPr>
        <w:t>по 11.08.2027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117" w:h="398" w:wrap="none" w:vAnchor="text" w:hAnchor="page" w:x="11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Члены комиссии:</w:t>
      </w:r>
    </w:p>
    <w:p>
      <w:pPr>
        <w:pStyle w:val="Style20"/>
        <w:keepNext w:val="0"/>
        <w:keepLines w:val="0"/>
        <w:framePr w:w="2712" w:h="408" w:wrap="none" w:vAnchor="text" w:hAnchor="page" w:x="4846" w:y="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728" w:h="398" w:wrap="none" w:vAnchor="text" w:hAnchor="page" w:x="9594" w:y="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Е.Э.Осташова</w:t>
      </w:r>
    </w:p>
    <w:p>
      <w:pPr>
        <w:widowControl w:val="0"/>
        <w:spacing w:line="360" w:lineRule="exact"/>
      </w:pPr>
      <w:r>
        <w:drawing>
          <wp:anchor distT="0" distB="0" distL="0" distR="1816735" simplePos="0" relativeHeight="62914703" behindDoc="1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374650</wp:posOffset>
            </wp:positionV>
            <wp:extent cx="298450" cy="34734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1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74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720"/>
        <w:jc w:val="left"/>
        <w:rPr>
          <w:sz w:val="12"/>
          <w:szCs w:val="12"/>
        </w:rPr>
      </w:pPr>
      <w:r>
        <w:rPr>
          <w:rStyle w:val="CharStyle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2"/>
          <w:szCs w:val="12"/>
        </w:rPr>
        <w:t>Осташова Екатерина Эдуардовна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04040"/>
          <w:sz w:val="12"/>
          <w:szCs w:val="12"/>
          <w:lang w:val="en-US" w:eastAsia="en-US"/>
        </w:rPr>
        <w:t>1306505AF799A650F4CE1E1B862B3417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4424" w:bottom="1293" w:left="4202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Действителен с 18.09.2025 </w:t>
      </w:r>
      <w:r>
        <w:rPr>
          <w:rStyle w:val="CharStyle6"/>
          <w:rFonts w:ascii="Arial" w:eastAsia="Arial" w:hAnsi="Arial" w:cs="Arial"/>
          <w:color w:val="555555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>12.12.2026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2712" w:h="408" w:wrap="none" w:vAnchor="text" w:hAnchor="page" w:x="4846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579" w:h="394" w:wrap="none" w:vAnchor="text" w:hAnchor="page" w:x="97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Н.Л.Кулкина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704" behindDoc="1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76200</wp:posOffset>
            </wp:positionV>
            <wp:extent cx="359410" cy="39624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74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2"/>
          <w:szCs w:val="12"/>
        </w:rPr>
        <w:t>Кулкина Надежда Леонидовна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04040"/>
          <w:sz w:val="12"/>
          <w:szCs w:val="12"/>
          <w:lang w:val="en-US" w:eastAsia="en-US"/>
        </w:rPr>
        <w:t>00A22BF002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6"/>
          <w:rFonts w:ascii="Arial" w:eastAsia="Arial" w:hAnsi="Arial" w:cs="Arial"/>
          <w:color w:val="404040"/>
          <w:sz w:val="12"/>
          <w:szCs w:val="12"/>
          <w:lang w:val="en-US" w:eastAsia="en-US"/>
        </w:rPr>
        <w:t>2F9E44FEDFBF77E77A1</w:t>
      </w: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>АОЕ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>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 xml:space="preserve">Действителен с 29.09.2025 </w:t>
      </w:r>
      <w:r>
        <w:rPr>
          <w:rStyle w:val="CharStyle6"/>
          <w:rFonts w:ascii="Arial" w:eastAsia="Arial" w:hAnsi="Arial" w:cs="Arial"/>
          <w:color w:val="555555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04040"/>
          <w:sz w:val="12"/>
          <w:szCs w:val="12"/>
        </w:rPr>
        <w:t>23.12.2026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</w:rPr>
        <w:t>Исп.Кулкина Н.Л.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</w:rPr>
        <w:t>тел.8 (4242) 55-70-24, вн.065-105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424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484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75.70000000000005pt;width:49.200000000000003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484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49.200000000000003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2484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788.20000000000005pt;width:49.200000000000003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24840" cy="12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75pt;margin-top:788.20000000000005pt;width:49.200000000000003pt;height:10.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24840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484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5pt;margin-top:788.20000000000005pt;width:49.200000000000003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Other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Other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140"/>
      <w:ind w:left="108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footer" Target="footer6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