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9.05.2026</w:t>
      </w:r>
      <w:r>
        <w:fldChar w:fldCharType="end"/>
      </w:r>
      <w:r>
        <w:rPr>
          <w:rStyle w:val="CharStyle10"/>
        </w:rPr>
        <w:tab/>
        <w:t>№ 21154/26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ФГБУ «НИЦЭМ им. Н.Ф. Гамалеи» Минздрава России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"mailto:tender@gamaleya.org" </w:instrText>
      </w:r>
      <w:r>
        <w:fldChar w:fldCharType="separate"/>
      </w:r>
      <w:r>
        <w:rPr>
          <w:rStyle w:val="CharStyle12"/>
          <w:lang w:val="en-US" w:eastAsia="en-US"/>
        </w:rPr>
        <w:t>tender@gamaleya.org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ООО ЧОП «Щит и меч»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160" w:bottom="708" w:left="1293" w:header="0" w:footer="3" w:gutter="0"/>
          <w:pgNumType w:start="1"/>
          <w:cols w:num="2" w:space="720" w:equalWidth="0">
            <w:col w:w="3806" w:space="1306"/>
            <w:col w:w="4334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"mailto:shitimeh@gmail.com" </w:instrText>
      </w:r>
      <w:r>
        <w:fldChar w:fldCharType="separate"/>
      </w:r>
      <w:r>
        <w:rPr>
          <w:rStyle w:val="CharStyle12"/>
          <w:lang w:val="en-US" w:eastAsia="en-US"/>
        </w:rPr>
        <w:t>shitimeh@gmail.com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1" w:after="6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9" w:right="0" w:bottom="81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077/06/105-6124/2026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12"/>
          <w:b/>
          <w:bCs/>
          <w:lang w:val="en-US" w:eastAsia="en-US"/>
        </w:rPr>
        <w:t>14.05.2026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Председательствующего: главного государственного инспектора отдела обжалования государственных закупок А.А. 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Главного государственного инспектора отдела обжалования государственных закупок А.А. Матюшенко,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А.С. Гелмутдинова,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рассмотрение жалобы проводилось дистанционно (посредством видео-конференц-связи),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при участии представителей: ООО ЧОП «Щит и меч»: Фролова П.А. (генеральный директор), ФГБУ «НИЦЭМ им. Н.Ф. Гамалеи» Минздрава России: Мальчикова Ю.А. (дов.№67/01-08-209), Брикульской И.С. (дов.№67/01-08-1077 от </w:t>
      </w:r>
      <w:r>
        <w:rPr>
          <w:rStyle w:val="CharStyle12"/>
          <w:lang w:val="en-US" w:eastAsia="en-US"/>
        </w:rPr>
        <w:t xml:space="preserve">11.09.2025), </w:t>
      </w:r>
      <w:r>
        <w:rPr>
          <w:rStyle w:val="CharStyle12"/>
        </w:rPr>
        <w:t xml:space="preserve">Карасевой Т.А. (дов.№67/01-08-849 от </w:t>
      </w:r>
      <w:r>
        <w:rPr>
          <w:rStyle w:val="CharStyle12"/>
          <w:lang w:val="en-US" w:eastAsia="en-US"/>
        </w:rPr>
        <w:t>18.07.2025),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рассмотрев жалобу ООО ЧОП «Щит и меч»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ФГБУ «НИЦЭМ им. Н.Ф. Гамалеи» Минздрава России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Заказчик) при проведении открытого конкурса в электронной форме на право заключения государственного контракта на услуги в целях защиты территории, зданий, сооружений и имущества Заказчика (Закупка </w:t>
      </w:r>
      <w:r>
        <w:rPr>
          <w:rStyle w:val="CharStyle12"/>
          <w:lang w:val="en-US" w:eastAsia="en-US"/>
        </w:rPr>
        <w:t xml:space="preserve">№0373100043226000067)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конкурс)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line="1" w:lineRule="exact"/>
      </w:pPr>
      <w:r>
        <w:drawing>
          <wp:anchor distT="2667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266700</wp:posOffset>
            </wp:positionV>
            <wp:extent cx="1511935" cy="29273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Московское УФАС России поступила жалоба Заявителя на действия Заказчика при проведении конкурса.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 заседание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Заявитель обжалует действия Заказчика, выразившиеся в утверждении положений извещения в нарушение законодательства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составе жалобы Заявитель также указывает на то, что извещение об осуществлении закупки сформировано Заказчиком противоречивым, неоднозначным образом, что не позволяет участникам закупки определить потребность Заказчика и надлежащим образом сформировать заявку на участие в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частности Заявитель указывает, что в описании объекта закупки Заказчиком предусмотрено </w:t>
      </w:r>
      <w:r>
        <w:rPr>
          <w:rStyle w:val="CharStyle12"/>
          <w:lang w:val="en-US" w:eastAsia="en-US"/>
        </w:rPr>
        <w:t xml:space="preserve">18 </w:t>
      </w:r>
      <w:r>
        <w:rPr>
          <w:rStyle w:val="CharStyle12"/>
        </w:rPr>
        <w:t xml:space="preserve">постов охраны, в то время как в извещении об осуществлении закупки обозначено лишь </w:t>
      </w:r>
      <w:r>
        <w:rPr>
          <w:rStyle w:val="CharStyle12"/>
          <w:lang w:val="en-US" w:eastAsia="en-US"/>
        </w:rPr>
        <w:t xml:space="preserve">7 </w:t>
      </w:r>
      <w:r>
        <w:rPr>
          <w:rStyle w:val="CharStyle12"/>
        </w:rPr>
        <w:t>обособленных товарных позиций объекта закупки «Услуги частной охраны (Выставление поста охраны)».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Комиссией Управления установлено, что, согласно извещению об осуществлении закупки, Заказчиком определено </w:t>
      </w:r>
      <w:r>
        <w:rPr>
          <w:rStyle w:val="CharStyle12"/>
          <w:lang w:val="en-US" w:eastAsia="en-US"/>
        </w:rPr>
        <w:t xml:space="preserve">7 </w:t>
      </w:r>
      <w:r>
        <w:rPr>
          <w:rStyle w:val="CharStyle12"/>
        </w:rPr>
        <w:t>обособленных объектов закупки «Услуги частной охраны (Выставление поста охраны)».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Также Комиссией Управления установлено, что в описании объекта закупки в том числе указано: «Описание оказываемой услуги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leader="underscore" w:pos="62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Общий объем оказание услуг: </w:t>
      </w:r>
      <w:r>
        <w:rPr>
          <w:rStyle w:val="CharStyle12"/>
          <w:lang w:val="en-US" w:eastAsia="en-US"/>
        </w:rPr>
        <w:tab/>
        <w:t xml:space="preserve"> </w:t>
      </w:r>
      <w:r>
        <w:rPr>
          <w:rStyle w:val="CharStyle12"/>
        </w:rPr>
        <w:t>человеко-часов.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lang w:val="en-US" w:eastAsia="en-US"/>
        </w:rPr>
        <w:t xml:space="preserve">10 </w:t>
      </w:r>
      <w:r>
        <w:rPr>
          <w:rStyle w:val="CharStyle12"/>
        </w:rPr>
        <w:t xml:space="preserve">постов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круглосуточные (по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человеку на каждый пост).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поста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круглосуточные (по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>человека на КПП въездные ворота).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пост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по </w:t>
      </w:r>
      <w:r>
        <w:rPr>
          <w:rStyle w:val="CharStyle12"/>
          <w:lang w:val="en-US" w:eastAsia="en-US"/>
        </w:rPr>
        <w:t xml:space="preserve">9 </w:t>
      </w:r>
      <w:r>
        <w:rPr>
          <w:rStyle w:val="CharStyle12"/>
        </w:rPr>
        <w:t>часов в дневное время, кроме выходных и праздничных дней, 1человек.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пост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по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 xml:space="preserve">часов в дневное время, кроме выходных и праздничных дней,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человек.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пост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по </w:t>
      </w:r>
      <w:r>
        <w:rPr>
          <w:rStyle w:val="CharStyle12"/>
          <w:lang w:val="en-US" w:eastAsia="en-US"/>
        </w:rPr>
        <w:t xml:space="preserve">8 </w:t>
      </w:r>
      <w:r>
        <w:rPr>
          <w:rStyle w:val="CharStyle12"/>
        </w:rPr>
        <w:t xml:space="preserve">часов в дневное время, кроме выходных и праздничных дней,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человек.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поста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по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 xml:space="preserve">часов в рабочие дни в ночное время с обходом прилегающей территории. В выходные и праздничные дни эти посты являются круглосуточными по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человеку на каждый пост.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пост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по </w:t>
      </w:r>
      <w:r>
        <w:rPr>
          <w:rStyle w:val="CharStyle12"/>
          <w:lang w:val="en-US" w:eastAsia="en-US"/>
        </w:rPr>
        <w:t xml:space="preserve">16 </w:t>
      </w:r>
      <w:r>
        <w:rPr>
          <w:rStyle w:val="CharStyle12"/>
        </w:rPr>
        <w:t xml:space="preserve">часов в рабочие дни в ночное время с обходом прилегающей территории. В выходные и праздничные дни этот пост является круглосуточным,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человек».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Согласно 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>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На заседании Комиссии Управления представитель Заказчика пояснении, что оспариваемая закупочная процедура проводится Заказчиком в рамках ч.24 ст.22 Закона о контрактной системе, так как Заказчиком не определен общий объем услуг, при этом в описании объекта закупки Заказчиком определена ориентировочная потребность Заказчика, а также указаны </w:t>
      </w:r>
      <w:r>
        <w:rPr>
          <w:rStyle w:val="CharStyle12"/>
          <w:lang w:val="en-US" w:eastAsia="en-US"/>
        </w:rPr>
        <w:t xml:space="preserve">7 </w:t>
      </w:r>
      <w:r>
        <w:rPr>
          <w:rStyle w:val="CharStyle12"/>
        </w:rPr>
        <w:t>различных групп постов (ночной, дневной, круглосуточный и т.д.), соответствующих каждой из обособленных товарных позиций, указанных в извещении об осуществлении закупки и подлежащих оплате в соответствии с такой позицией.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В силу п.7 ч.1 ст. </w:t>
      </w:r>
      <w:r>
        <w:rPr>
          <w:rStyle w:val="CharStyle12"/>
          <w:lang w:val="en-US" w:eastAsia="en-US"/>
        </w:rPr>
        <w:t xml:space="preserve">42 </w:t>
      </w:r>
      <w:r>
        <w:rPr>
          <w:rStyle w:val="CharStyle12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об объеме (за исключением случая, предусмотренного ч.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22 </w:t>
      </w:r>
      <w:r>
        <w:rPr>
          <w:rStyle w:val="CharStyle12"/>
        </w:rPr>
        <w:t>Закона о контрактной системе), о единице измерения (при наличии) и месте выполнения работы или оказания услуги.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Ч.24 ст. </w:t>
      </w:r>
      <w:r>
        <w:rPr>
          <w:rStyle w:val="CharStyle12"/>
          <w:lang w:val="en-US" w:eastAsia="en-US"/>
        </w:rPr>
        <w:t xml:space="preserve">22 </w:t>
      </w:r>
      <w:r>
        <w:rPr>
          <w:rStyle w:val="CharStyle12"/>
        </w:rPr>
        <w:t xml:space="preserve">Закона о контрактной системе регламентирует, что в случае, если количество поставляемых товаров, объем подлежащих выполнению работ, оказанию услуг невозможно определить, заказчик с учетом установленных в соответствии со ст.19 Закона о контрактной системе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государственных органов, органов управления государственными внебюджетными фондами, муниципальных органов определяет начальную цену единицы товара, работы, услуги, начальную сумму цен указанных единиц, максимальное значение цены контракта, а также обосновывает в соответствии со ст. </w:t>
      </w:r>
      <w:r>
        <w:rPr>
          <w:rStyle w:val="CharStyle12"/>
          <w:lang w:val="en-US" w:eastAsia="en-US"/>
        </w:rPr>
        <w:t xml:space="preserve">22 </w:t>
      </w:r>
      <w:r>
        <w:rPr>
          <w:rStyle w:val="CharStyle12"/>
        </w:rPr>
        <w:t>Закона о контрактной системе цену единицы товара, работы, услуги. При этом положения Закона о контрактной системе, касающиеся применения начальной (максимальной) цены контракта, в том числе для расчета размера обеспечения заявки или обеспечения исполнения контракта, применяются к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максимальному значению цены контракта, если Законом о контрактной системе не установлено иное.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Комиссией Управления установлено, что извещение об осуществлении закупки сформировано Заказчиком в рамках ч.24 ст.22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При этом Комиссией Управления также установлено, что количество товарных позицией, указанных в извещении об осуществлении закупки, соотносится с количеством различных групп постов, указанных в описании объекта закупки и подлежащих расчету в единице измерения «человеко-час».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Вместе с этим, согласно ч.4 ст.106 Закона о контрактной системе,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 на заседании Комиссии Управления представителем Заявителя, а также в составе жалобы Заявителем, не представлено документов и сведений, свидетельствующих об ограничении количества участников закупки при формировании извещения вышеуказанным образом, невозможности формировании заявки на участие в закупке, ценового предложения.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Ввиду вышеизложенного у Комиссии Управления отсутствуют правовые основания считать Заказчика нарушившим положения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Иного на заседании Комиссии Управления не выявлено.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 основании вышеизложенного Комиссия Управления приходит к выводу, что доводы жалобы Заявителя не нашли своего подтверждения и являются необоснованными.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9" w:right="542" w:bottom="819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rStyle w:val="CharStyle12"/>
        </w:rPr>
        <w:t>Признать жалобу ООО ЧОП «Щит и меч» на действия ФГБУ «НИЦЭМ им. Н.Ф. Гамалеи» Минздрава России необоснованной.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240" w:line="240" w:lineRule="auto"/>
        <w:ind w:left="0" w:right="0" w:firstLine="620"/>
        <w:jc w:val="both"/>
      </w:pPr>
      <w:r>
        <w:rPr>
          <w:rStyle w:val="CharStyle12"/>
        </w:rPr>
        <w:t>Снять ограничения на определение поставщика (подрядчика, исполнителя), наложенные Московским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установленным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235" w:left="111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40995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9611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200000000000003pt;margin-top:10.pt;width:149.30000000000001pt;height:19.699999999999999pt;z-index:-125829374;mso-wrap-distance-left:0;mso-wrap-distance-top:10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6255" simplePos="0" relativeHeight="125829381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196850</wp:posOffset>
            </wp:positionV>
            <wp:extent cx="359410" cy="52451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601980</wp:posOffset>
                </wp:positionV>
                <wp:extent cx="1283335" cy="10033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80.94999999999999pt;margin-top:47.39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285115</wp:posOffset>
                </wp:positionV>
                <wp:extent cx="1722120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80000000000001pt;margin-top:22.44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40995" distL="0" distR="0" simplePos="0" relativeHeight="125829382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127000</wp:posOffset>
                </wp:positionV>
                <wp:extent cx="1307465" cy="25019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65.25pt;margin-top:10.pt;width:102.95pt;height:19.699999999999999pt;z-index:-125829371;mso-wrap-distance-left:0;mso-wrap-distance-top:10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Кутейников Антон Андреевич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67950889C45403E5BD9EBC88A8D80C0D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18"/>
        </w:rPr>
        <w:t xml:space="preserve">Действителен с 19.05.2025 </w:t>
      </w:r>
      <w:r>
        <w:rPr>
          <w:rStyle w:val="CharStyle18"/>
          <w:color w:val="5E5E5E"/>
        </w:rPr>
        <w:t xml:space="preserve">по </w:t>
      </w:r>
      <w:r>
        <w:rPr>
          <w:rStyle w:val="CharStyle18"/>
        </w:rPr>
        <w:t>12.08.2026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0.90000000000003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75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Матюшенко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right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Матюшенко Александр Александрович</w:t>
      </w:r>
      <w:r>
        <w:rPr>
          <w:rStyle w:val="CharStyle18"/>
          <w:color w:val="000000"/>
        </w:rPr>
        <w:t xml:space="preserve"> </w:t>
      </w: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4F595A5C3E5ABB2DD77161F08559FC07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60"/>
        <w:ind w:right="0"/>
        <w:jc w:val="left"/>
      </w:pPr>
      <w:r>
        <w:rPr>
          <w:rStyle w:val="CharStyle18"/>
        </w:rPr>
        <w:t xml:space="preserve">Действителен с 22.07.2025 </w:t>
      </w:r>
      <w:r>
        <w:rPr>
          <w:rStyle w:val="CharStyle18"/>
          <w:color w:val="5E5E5E"/>
        </w:rPr>
        <w:t xml:space="preserve">по </w:t>
      </w:r>
      <w:r>
        <w:rPr>
          <w:rStyle w:val="CharStyle18"/>
        </w:rPr>
        <w:t>15.10.2026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31035" simplePos="0" relativeHeight="125829385" behindDoc="0" locked="0" layoutInCell="1" allowOverlap="1">
            <wp:simplePos x="0" y="0"/>
            <wp:positionH relativeFrom="page">
              <wp:posOffset>3137535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7.75pt;margin-top:11.80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А.С. Гелмутдинова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right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ГЕЛМУТДИНОВА АНАСТАСИЯ СЕРГЕЕВНА</w:t>
      </w:r>
      <w:r>
        <w:rPr>
          <w:rStyle w:val="CharStyle18"/>
          <w:color w:val="000000"/>
        </w:rPr>
        <w:t xml:space="preserve"> </w:t>
      </w: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</w:rPr>
        <w:t>723501СС21703599976371</w:t>
      </w:r>
      <w:r>
        <w:rPr>
          <w:rStyle w:val="CharStyle18"/>
          <w:lang w:val="en-US" w:eastAsia="en-US"/>
        </w:rPr>
        <w:t>4F5C652689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640"/>
        <w:ind w:right="0"/>
        <w:jc w:val="left"/>
      </w:pPr>
      <w:r>
        <w:rPr>
          <w:rStyle w:val="CharStyle18"/>
        </w:rPr>
        <w:t xml:space="preserve">Действителен с 09.02.2026 </w:t>
      </w:r>
      <w:r>
        <w:rPr>
          <w:rStyle w:val="CharStyle18"/>
          <w:color w:val="5E5E5E"/>
        </w:rPr>
        <w:t xml:space="preserve">по </w:t>
      </w:r>
      <w:r>
        <w:rPr>
          <w:rStyle w:val="CharStyle18"/>
        </w:rPr>
        <w:t>05.05.2027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5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2026-24496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00000000000003pt;margin-top:794.70000000000005pt;width:57.10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2026-24496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10214610</wp:posOffset>
              </wp:positionV>
              <wp:extent cx="737870" cy="12827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2026-24496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6.75pt;margin-top:804.30000000000007pt;width:58.10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2026-24496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3920490</wp:posOffset>
              </wp:positionH>
              <wp:positionV relativeFrom="page">
                <wp:posOffset>447040</wp:posOffset>
              </wp:positionV>
              <wp:extent cx="67310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69999999999999pt;margin-top:35.200000000000003pt;width:5.29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Body text (2)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3">
    <w:name w:val="Body text (5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Body text (4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Body text (2)"/>
    <w:basedOn w:val="Normal"/>
    <w:link w:val="CharStyle18"/>
    <w:pPr>
      <w:widowControl w:val="0"/>
      <w:shd w:val="clear" w:color="auto" w:fill="auto"/>
      <w:spacing w:line="266" w:lineRule="auto"/>
      <w:ind w:left="3800"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2">
    <w:name w:val="Body text (5)"/>
    <w:basedOn w:val="Normal"/>
    <w:link w:val="CharStyle23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Body text (4)"/>
    <w:basedOn w:val="Normal"/>
    <w:link w:val="CharStyle25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