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9.05.2026</w:t>
      </w:r>
      <w:r>
        <w:fldChar w:fldCharType="end"/>
      </w:r>
      <w:r>
        <w:rPr>
          <w:rStyle w:val="CharStyle10"/>
        </w:rPr>
        <w:tab/>
        <w:t>№ 21052/26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ФКУ «Объединенная Дирекция» Минстроя России</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"mailto:zakupki@guod.ru" </w:instrText>
      </w:r>
      <w:r>
        <w:fldChar w:fldCharType="separate"/>
      </w:r>
      <w:r>
        <w:rPr>
          <w:rStyle w:val="CharStyle12"/>
          <w:lang w:val="en-US" w:eastAsia="en-US"/>
        </w:rPr>
        <w:t>zakupki@guod.ru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«Печатное мастерство»</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539" w:bottom="708" w:left="1293" w:header="0" w:footer="3" w:gutter="0"/>
          <w:pgNumType w:start="1"/>
          <w:cols w:num="2" w:space="1147"/>
          <w:noEndnote/>
          <w:titlePg/>
          <w:rtlGutter w:val="0"/>
          <w:docGrid w:linePitch="360"/>
        </w:sectPr>
      </w:pPr>
      <w:r>
        <w:fldChar w:fldCharType="begin"/>
      </w:r>
      <w:r>
        <w:rPr/>
        <w:instrText> HYPERLINK "mailto:printmastender@ya.ru" </w:instrText>
      </w:r>
      <w:r>
        <w:fldChar w:fldCharType="separate"/>
      </w:r>
      <w:r>
        <w:rPr>
          <w:rStyle w:val="CharStyle12"/>
          <w:lang w:val="en-US" w:eastAsia="en-US"/>
        </w:rPr>
        <w:t>printmastender@ya.ru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1" w:right="0" w:bottom="798"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47"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077/06/105-6130/2026 </w:t>
      </w:r>
      <w:r>
        <w:rPr>
          <w:rStyle w:val="CharStyle12"/>
          <w:b/>
          <w:bCs/>
        </w:rPr>
        <w:t>о нарушении</w:t>
        <w:br/>
        <w:t>законодательства о контрактной системе</w:t>
        <w:br/>
      </w:r>
      <w:r>
        <w:rPr>
          <w:rStyle w:val="CharStyle12"/>
          <w:b/>
          <w:bCs/>
          <w:lang w:val="en-US" w:eastAsia="en-US"/>
        </w:rPr>
        <w:t>14.05.2026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государственного инспектора отдела обжалования государственных закупок А.А. Матюшенко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Гелмутдиновой,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ФКУ «Объединенная дирекция» Минстроя России: Ю.Н. Чаплыгина (по дов. </w:t>
      </w:r>
      <w:r>
        <w:rPr>
          <w:rStyle w:val="CharStyle12"/>
          <w:lang w:val="en-US" w:eastAsia="en-US"/>
        </w:rPr>
        <w:t xml:space="preserve">№ </w:t>
      </w:r>
      <w:r>
        <w:rPr>
          <w:rStyle w:val="CharStyle12"/>
        </w:rPr>
        <w:t xml:space="preserve">Дов-юр-55 от </w:t>
      </w:r>
      <w:r>
        <w:rPr>
          <w:rStyle w:val="CharStyle12"/>
          <w:lang w:val="en-US" w:eastAsia="en-US"/>
        </w:rPr>
        <w:t>25.12.2025),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отсутствие представителей ООО «Печатное мастерство», о времени и порядке заседания Комиссии Управления уведомленных надлежащим образом посредством размещения сведений в Единой информационной системе (далее </w:t>
      </w:r>
      <w:r>
        <w:rPr>
          <w:rStyle w:val="CharStyle12"/>
          <w:lang w:val="en-US" w:eastAsia="en-US"/>
        </w:rPr>
        <w:t xml:space="preserve">— </w:t>
      </w:r>
      <w:r>
        <w:rPr>
          <w:rStyle w:val="CharStyle12"/>
        </w:rPr>
        <w:t>ЕИС) (ходатайство №б/н от б/д),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ООО «Печатное мастерство» (далее </w:t>
      </w:r>
      <w:r>
        <w:rPr>
          <w:rStyle w:val="CharStyle12"/>
          <w:lang w:val="en-US" w:eastAsia="en-US"/>
        </w:rPr>
        <w:t xml:space="preserve">- </w:t>
      </w:r>
      <w:r>
        <w:rPr>
          <w:rStyle w:val="CharStyle12"/>
        </w:rPr>
        <w:t xml:space="preserve">Заявитель) на действия ФКУ «Объединенная дирекция» Минстроя России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расходных материалов для офисной техники (Закупка </w:t>
      </w:r>
      <w:r>
        <w:rPr>
          <w:rStyle w:val="CharStyle12"/>
          <w:lang w:val="en-US" w:eastAsia="en-US"/>
        </w:rPr>
        <w:t xml:space="preserve">№ 0373100024326000014) </w:t>
      </w:r>
      <w:r>
        <w:rPr>
          <w:rStyle w:val="CharStyle12"/>
        </w:rPr>
        <w:t xml:space="preserve">(далее </w:t>
      </w:r>
      <w:r>
        <w:rPr>
          <w:rStyle w:val="CharStyle12"/>
          <w:lang w:val="en-US" w:eastAsia="en-US"/>
        </w:rPr>
        <w:t xml:space="preserve">— </w:t>
      </w:r>
      <w:r>
        <w:rPr>
          <w:rStyle w:val="CharStyle12"/>
        </w:rPr>
        <w:t>электронный аукцион, аукцион), в соответствии</w:t>
      </w:r>
    </w:p>
    <w:p>
      <w:pPr>
        <w:widowControl w:val="0"/>
        <w:spacing w:line="1" w:lineRule="exact"/>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40" w:line="240" w:lineRule="auto"/>
        <w:ind w:left="0" w:right="0" w:firstLine="0"/>
        <w:jc w:val="both"/>
      </w:pPr>
      <w:r>
        <w:rPr>
          <w:rStyle w:val="CharStyle12"/>
        </w:rPr>
        <w:t xml:space="preserve">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составе жалобы Заявитель указывает, что Заказчиком в извещении об осуществлении закупки неправомерно установлено требование о поставке исключительно оригинальных товаров, без возможности поставки эквивалентной продукции, что также влечет за собой невозможным применение защитных мер, предусмотренных положениями Постановления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12"/>
        </w:rPr>
        <w:t>сопровождение такого указания словами «или эквивалент»;</w:t>
      </w:r>
    </w:p>
    <w:p>
      <w:pPr>
        <w:pStyle w:val="Style11"/>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1"/>
        </w:numPr>
        <w:shd w:val="clear" w:color="auto" w:fill="auto"/>
        <w:tabs>
          <w:tab w:pos="1422" w:val="left"/>
        </w:tabs>
        <w:bidi w:val="0"/>
        <w:spacing w:before="0" w:after="240" w:line="240" w:lineRule="auto"/>
        <w:ind w:left="0" w:right="0" w:firstLine="70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w:t>
      </w:r>
    </w:p>
    <w:p>
      <w:pPr>
        <w:pStyle w:val="Style11"/>
        <w:keepNext w:val="0"/>
        <w:keepLines w:val="0"/>
        <w:widowControl w:val="0"/>
        <w:shd w:val="clear" w:color="auto" w:fill="auto"/>
        <w:bidi w:val="0"/>
        <w:spacing w:before="0" w:after="0"/>
        <w:ind w:left="0" w:right="0" w:firstLine="0"/>
        <w:jc w:val="both"/>
      </w:pPr>
      <w:r>
        <w:rPr>
          <w:rStyle w:val="CharStyle12"/>
        </w:rPr>
        <w:t>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ind w:left="0" w:right="0" w:firstLine="700"/>
        <w:jc w:val="both"/>
      </w:pPr>
      <w:r>
        <w:rPr>
          <w:rStyle w:val="CharStyle12"/>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00"/>
        <w:jc w:val="both"/>
      </w:pPr>
      <w:r>
        <w:rPr>
          <w:rStyle w:val="CharStyle12"/>
        </w:rPr>
        <w:t>Комиссией Управления установлено, что согласно описанию объектов закупки Заказчиком установлены следующие требования к следующим закупаемым расходным материалам:</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213065095».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P300T6KK-W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213065096».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P300T6KС-W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213065363».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P300T6KМ-W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по п. «Картридж для электрографических печатающих устройств Идентификатор: </w:t>
      </w:r>
      <w:r>
        <w:rPr>
          <w:rStyle w:val="CharStyle12"/>
          <w:lang w:val="en-US" w:eastAsia="en-US"/>
        </w:rPr>
        <w:t xml:space="preserve">213065584». </w:t>
      </w:r>
      <w:r>
        <w:rPr>
          <w:rStyle w:val="CharStyle12"/>
        </w:rPr>
        <w:t xml:space="preserve">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26.20.40.120 </w:t>
      </w:r>
      <w:r>
        <w:rPr>
          <w:rStyle w:val="CharStyle12"/>
        </w:rPr>
        <w:t xml:space="preserve">«Картридж для электрографических печатающих устройств»: «Тип картриджа: Тонер-картридж </w:t>
      </w:r>
      <w:r>
        <w:rPr>
          <w:rStyle w:val="CharStyle12"/>
          <w:lang w:val="en-US" w:eastAsia="en-US"/>
        </w:rPr>
        <w:t xml:space="preserve">P300T6KY-W </w:t>
      </w:r>
      <w:r>
        <w:rPr>
          <w:rStyle w:val="CharStyle12"/>
        </w:rPr>
        <w:t xml:space="preserve">(оригинальный) для МФУ </w:t>
      </w:r>
      <w:r>
        <w:rPr>
          <w:rStyle w:val="CharStyle12"/>
          <w:lang w:val="en-US" w:eastAsia="en-US"/>
        </w:rPr>
        <w:t xml:space="preserve">«Sindoh» C300»; </w:t>
      </w:r>
      <w:r>
        <w:rPr>
          <w:rStyle w:val="CharStyle12"/>
        </w:rPr>
        <w:t xml:space="preserve">товарный знак: </w:t>
      </w:r>
      <w:r>
        <w:rPr>
          <w:rStyle w:val="CharStyle12"/>
          <w:lang w:val="en-US" w:eastAsia="en-US"/>
        </w:rPr>
        <w:t>Sindoh.</w:t>
      </w:r>
    </w:p>
    <w:p>
      <w:pPr>
        <w:pStyle w:val="Style11"/>
        <w:keepNext w:val="0"/>
        <w:keepLines w:val="0"/>
        <w:widowControl w:val="0"/>
        <w:shd w:val="clear" w:color="auto" w:fill="auto"/>
        <w:bidi w:val="0"/>
        <w:spacing w:before="0" w:after="0"/>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w:t>
      </w:r>
    </w:p>
    <w:p>
      <w:pPr>
        <w:pStyle w:val="Style11"/>
        <w:keepNext w:val="0"/>
        <w:keepLines w:val="0"/>
        <w:widowControl w:val="0"/>
        <w:shd w:val="clear" w:color="auto" w:fill="auto"/>
        <w:bidi w:val="0"/>
        <w:spacing w:before="0" w:after="0"/>
        <w:ind w:left="0" w:right="0" w:firstLine="0"/>
        <w:jc w:val="both"/>
      </w:pPr>
      <w:r>
        <w:rPr>
          <w:rStyle w:val="CharStyle12"/>
        </w:rPr>
        <w:t>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ind w:left="0" w:right="0" w:firstLine="700"/>
        <w:jc w:val="both"/>
      </w:pPr>
      <w:r>
        <w:rPr>
          <w:rStyle w:val="CharStyle12"/>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423" w:val="left"/>
        </w:tabs>
        <w:bidi w:val="0"/>
        <w:spacing w:before="0" w:after="0"/>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ind w:left="0" w:right="0" w:firstLine="700"/>
        <w:jc w:val="both"/>
      </w:pPr>
      <w:r>
        <w:rPr>
          <w:rStyle w:val="CharStyle12"/>
        </w:rPr>
        <w:t xml:space="preserve">П.1 Постановления </w:t>
      </w:r>
      <w:r>
        <w:rPr>
          <w:rStyle w:val="CharStyle12"/>
          <w:lang w:val="en-US" w:eastAsia="en-US"/>
        </w:rPr>
        <w:t xml:space="preserve">№1875 </w:t>
      </w:r>
      <w:r>
        <w:rPr>
          <w:rStyle w:val="CharStyle12"/>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sectPr>
          <w:footnotePr>
            <w:pos w:val="pageBottom"/>
            <w:numFmt w:val="decimal"/>
            <w:numRestart w:val="continuous"/>
          </w:footnotePr>
          <w:type w:val="continuous"/>
          <w:pgSz w:w="11900" w:h="16840"/>
          <w:pgMar w:top="581" w:right="539" w:bottom="798" w:left="1099" w:header="0" w:footer="3" w:gutter="0"/>
          <w:cols w:space="720"/>
          <w:noEndnote/>
          <w:rtlGutter w:val="0"/>
          <w:docGrid w:linePitch="360"/>
        </w:sectPr>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ind w:left="0" w:right="0" w:firstLine="700"/>
        <w:jc w:val="both"/>
      </w:pPr>
      <w:r>
        <w:rPr>
          <w:rStyle w:val="CharStyle12"/>
        </w:rPr>
        <w:t xml:space="preserve">Пп.«б» п.6 Постановления </w:t>
      </w:r>
      <w:r>
        <w:rPr>
          <w:rStyle w:val="CharStyle12"/>
          <w:lang w:val="en-US" w:eastAsia="en-US"/>
        </w:rPr>
        <w:t xml:space="preserve">№1875 </w:t>
      </w:r>
      <w:r>
        <w:rPr>
          <w:rStyle w:val="CharStyle12"/>
        </w:rPr>
        <w:t xml:space="preserve">определено, что ограничение, предусмотренное п.1 Постановления </w:t>
      </w:r>
      <w:r>
        <w:rPr>
          <w:rStyle w:val="CharStyle12"/>
          <w:lang w:val="en-US" w:eastAsia="en-US"/>
        </w:rPr>
        <w:t xml:space="preserve">№1875, </w:t>
      </w:r>
      <w:r>
        <w:rPr>
          <w:rStyle w:val="CharStyle12"/>
        </w:rPr>
        <w:t xml:space="preserve">может не применяться заказчиками при осуществлении закупок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пп.«б» п.6 Постановления </w:t>
      </w:r>
      <w:r>
        <w:rPr>
          <w:rStyle w:val="CharStyle12"/>
          <w:lang w:val="en-US" w:eastAsia="en-US"/>
        </w:rPr>
        <w:t xml:space="preserve">№1875 </w:t>
      </w:r>
      <w:r>
        <w:rPr>
          <w:rStyle w:val="CharStyle12"/>
        </w:rPr>
        <w:t xml:space="preserve">не применяются при осуществлении закупок товаров, указанных в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и являющихся расходными материалами, комплектующими, принадлежностями к медицинским изделиям.</w:t>
      </w:r>
    </w:p>
    <w:p>
      <w:pPr>
        <w:pStyle w:val="Style11"/>
        <w:keepNext w:val="0"/>
        <w:keepLines w:val="0"/>
        <w:widowControl w:val="0"/>
        <w:shd w:val="clear" w:color="auto" w:fill="auto"/>
        <w:bidi w:val="0"/>
        <w:spacing w:before="0" w:after="0"/>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определено, что в извещении об осуществлении закупки Заказчиком установлено ограничение, предусмотренное Постановлением </w:t>
      </w:r>
      <w:r>
        <w:rPr>
          <w:rStyle w:val="CharStyle12"/>
          <w:lang w:val="en-US" w:eastAsia="en-US"/>
        </w:rPr>
        <w:t xml:space="preserve">№1875, </w:t>
      </w:r>
      <w:r>
        <w:rPr>
          <w:rStyle w:val="CharStyle12"/>
        </w:rPr>
        <w:t xml:space="preserve">а также указано обоснование невозможности соблюдения ограничения: «Ограничение не применяется на основании подпункта «б» пункта </w:t>
      </w:r>
      <w:r>
        <w:rPr>
          <w:rStyle w:val="CharStyle12"/>
          <w:lang w:val="en-US" w:eastAsia="en-US"/>
        </w:rPr>
        <w:t xml:space="preserve">6 </w:t>
      </w:r>
      <w:r>
        <w:rPr>
          <w:rStyle w:val="CharStyle12"/>
        </w:rPr>
        <w:t xml:space="preserve">Постановления Правительства РФ от </w:t>
      </w:r>
      <w:r>
        <w:rPr>
          <w:rStyle w:val="CharStyle12"/>
          <w:lang w:val="en-US" w:eastAsia="en-US"/>
        </w:rPr>
        <w:t xml:space="preserve">23.12.2024 № 1875: </w:t>
      </w:r>
      <w:r>
        <w:rPr>
          <w:rStyle w:val="CharStyle12"/>
        </w:rPr>
        <w:t>осуществляется закупка товаров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ind w:left="0" w:right="0" w:firstLine="700"/>
        <w:jc w:val="both"/>
      </w:pPr>
      <w:r>
        <w:rPr>
          <w:rStyle w:val="CharStyle12"/>
        </w:rPr>
        <w:t>Комиссия Управления отмечает, что ст.33 Закона о контрактной системе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1"/>
        <w:keepNext w:val="0"/>
        <w:keepLines w:val="0"/>
        <w:widowControl w:val="0"/>
        <w:shd w:val="clear" w:color="auto" w:fill="auto"/>
        <w:bidi w:val="0"/>
        <w:spacing w:before="0" w:after="0"/>
        <w:ind w:left="0" w:right="0" w:firstLine="700"/>
        <w:jc w:val="both"/>
      </w:pPr>
      <w:r>
        <w:rPr>
          <w:rStyle w:val="CharStyle12"/>
        </w:rPr>
        <w:t>При этом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90" w:lineRule="auto"/>
        <w:ind w:left="0" w:right="0" w:firstLine="700"/>
        <w:jc w:val="both"/>
        <w:rPr>
          <w:sz w:val="24"/>
          <w:szCs w:val="24"/>
        </w:rPr>
      </w:pPr>
      <w:r>
        <w:rPr>
          <w:rStyle w:val="CharStyle12"/>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w:t>
      </w:r>
      <w:r>
        <w:rPr>
          <w:rStyle w:val="CharStyle12"/>
          <w:sz w:val="24"/>
          <w:szCs w:val="24"/>
          <w:lang w:val="en-US" w:eastAsia="en-US"/>
        </w:rPr>
        <w:t>2026-24474</w:t>
      </w:r>
    </w:p>
    <w:p>
      <w:pPr>
        <w:pStyle w:val="Style11"/>
        <w:keepNext w:val="0"/>
        <w:keepLines w:val="0"/>
        <w:widowControl w:val="0"/>
        <w:shd w:val="clear" w:color="auto" w:fill="auto"/>
        <w:bidi w:val="0"/>
        <w:spacing w:before="0" w:after="0"/>
        <w:ind w:left="0" w:right="0" w:firstLine="0"/>
        <w:jc w:val="both"/>
      </w:pPr>
      <w:r>
        <w:rPr>
          <w:rStyle w:val="CharStyle12"/>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40"/>
        <w:jc w:val="both"/>
      </w:pPr>
      <w:r>
        <w:rPr>
          <w:rStyle w:val="CharStyle12"/>
        </w:rPr>
        <w:t xml:space="preserve">На заседании Комиссии Управления представитель Заказчика пояснил, что Заказчик производит закупку оригинальных картриджей для МФУ </w:t>
      </w:r>
      <w:r>
        <w:rPr>
          <w:rStyle w:val="CharStyle12"/>
          <w:lang w:val="en-US" w:eastAsia="en-US"/>
        </w:rPr>
        <w:t xml:space="preserve">«Sindoh» C300, </w:t>
      </w:r>
      <w:r>
        <w:rPr>
          <w:rStyle w:val="CharStyle12"/>
        </w:rPr>
        <w:t>данное оборудование находится на гарантийном обслуживании.</w:t>
      </w:r>
    </w:p>
    <w:p>
      <w:pPr>
        <w:pStyle w:val="Style11"/>
        <w:keepNext w:val="0"/>
        <w:keepLines w:val="0"/>
        <w:widowControl w:val="0"/>
        <w:shd w:val="clear" w:color="auto" w:fill="auto"/>
        <w:bidi w:val="0"/>
        <w:spacing w:before="0" w:after="0"/>
        <w:ind w:left="0" w:right="0" w:firstLine="740"/>
        <w:jc w:val="both"/>
      </w:pPr>
      <w:r>
        <w:rPr>
          <w:rStyle w:val="CharStyle12"/>
        </w:rPr>
        <w:t xml:space="preserve">Также представитель Заказчика пояснил, что в соответствии с руководством пользователя </w:t>
      </w:r>
      <w:r>
        <w:rPr>
          <w:rStyle w:val="CharStyle12"/>
          <w:lang w:val="en-US" w:eastAsia="en-US"/>
        </w:rPr>
        <w:t xml:space="preserve">«Sindoh» C300 </w:t>
      </w:r>
      <w:r>
        <w:rPr>
          <w:rStyle w:val="CharStyle12"/>
        </w:rPr>
        <w:t xml:space="preserve">МФУ сконструирован таким образом, чтобы наилучшим образом использовать оригинальные компоненты и расходные материалы </w:t>
      </w:r>
      <w:r>
        <w:rPr>
          <w:rStyle w:val="CharStyle12"/>
          <w:lang w:val="en-US" w:eastAsia="en-US"/>
        </w:rPr>
        <w:t>Sindoh.</w:t>
      </w:r>
    </w:p>
    <w:p>
      <w:pPr>
        <w:pStyle w:val="Style11"/>
        <w:keepNext w:val="0"/>
        <w:keepLines w:val="0"/>
        <w:widowControl w:val="0"/>
        <w:shd w:val="clear" w:color="auto" w:fill="auto"/>
        <w:bidi w:val="0"/>
        <w:spacing w:before="0" w:after="0"/>
        <w:ind w:left="0" w:right="0" w:firstLine="740"/>
        <w:jc w:val="both"/>
      </w:pPr>
      <w:r>
        <w:rPr>
          <w:rStyle w:val="CharStyle12"/>
        </w:rPr>
        <w:t>В обоснование своей позиции представитель Заказчика представил:</w:t>
      </w:r>
    </w:p>
    <w:p>
      <w:pPr>
        <w:pStyle w:val="Style11"/>
        <w:keepNext w:val="0"/>
        <w:keepLines w:val="0"/>
        <w:widowControl w:val="0"/>
        <w:numPr>
          <w:ilvl w:val="0"/>
          <w:numId w:val="7"/>
        </w:numPr>
        <w:shd w:val="clear" w:color="auto" w:fill="auto"/>
        <w:tabs>
          <w:tab w:pos="955" w:val="left"/>
        </w:tabs>
        <w:bidi w:val="0"/>
        <w:spacing w:before="0" w:after="0"/>
        <w:ind w:left="0" w:right="0" w:firstLine="740"/>
        <w:jc w:val="both"/>
      </w:pPr>
      <w:r>
        <w:rPr>
          <w:rStyle w:val="CharStyle12"/>
        </w:rPr>
        <w:t xml:space="preserve">гарантийные талоны на оборудование </w:t>
      </w:r>
      <w:r>
        <w:rPr>
          <w:rStyle w:val="CharStyle12"/>
          <w:lang w:val="en-US" w:eastAsia="en-US"/>
        </w:rPr>
        <w:t xml:space="preserve">«Sindoh» C300 </w:t>
      </w:r>
      <w:r>
        <w:rPr>
          <w:rStyle w:val="CharStyle12"/>
        </w:rPr>
        <w:t xml:space="preserve">МФУ, например, гарантийный талон </w:t>
      </w:r>
      <w:r>
        <w:rPr>
          <w:rStyle w:val="CharStyle12"/>
          <w:lang w:val="en-US" w:eastAsia="en-US"/>
        </w:rPr>
        <w:t xml:space="preserve">№ 140426-4 </w:t>
      </w:r>
      <w:r>
        <w:rPr>
          <w:rStyle w:val="CharStyle12"/>
        </w:rPr>
        <w:t xml:space="preserve">от от </w:t>
      </w:r>
      <w:r>
        <w:rPr>
          <w:rStyle w:val="CharStyle12"/>
          <w:lang w:val="en-US" w:eastAsia="en-US"/>
        </w:rPr>
        <w:t xml:space="preserve">10.11.2025 </w:t>
      </w:r>
      <w:r>
        <w:rPr>
          <w:rStyle w:val="CharStyle12"/>
        </w:rPr>
        <w:t xml:space="preserve">со сроком гарантии </w:t>
      </w:r>
      <w:r>
        <w:rPr>
          <w:rStyle w:val="CharStyle12"/>
          <w:lang w:val="en-US" w:eastAsia="en-US"/>
        </w:rPr>
        <w:t xml:space="preserve">12 </w:t>
      </w:r>
      <w:r>
        <w:rPr>
          <w:rStyle w:val="CharStyle12"/>
        </w:rPr>
        <w:t>месяцев на имеющееся у Заказчика оборудование;</w:t>
      </w:r>
    </w:p>
    <w:p>
      <w:pPr>
        <w:pStyle w:val="Style11"/>
        <w:keepNext w:val="0"/>
        <w:keepLines w:val="0"/>
        <w:widowControl w:val="0"/>
        <w:numPr>
          <w:ilvl w:val="0"/>
          <w:numId w:val="7"/>
        </w:numPr>
        <w:shd w:val="clear" w:color="auto" w:fill="auto"/>
        <w:tabs>
          <w:tab w:pos="1695" w:val="left"/>
        </w:tabs>
        <w:bidi w:val="0"/>
        <w:spacing w:before="0" w:after="0"/>
        <w:ind w:left="0" w:right="0" w:firstLine="740"/>
        <w:jc w:val="both"/>
      </w:pPr>
      <w:r>
        <w:rPr>
          <w:rStyle w:val="CharStyle12"/>
        </w:rPr>
        <w:t xml:space="preserve">руководство пользователя на оборудование МФУ </w:t>
      </w:r>
      <w:r>
        <w:rPr>
          <w:rStyle w:val="CharStyle12"/>
          <w:lang w:val="en-US" w:eastAsia="en-US"/>
        </w:rPr>
        <w:t>Sindoh C300.</w:t>
      </w:r>
    </w:p>
    <w:p>
      <w:pPr>
        <w:pStyle w:val="Style11"/>
        <w:keepNext w:val="0"/>
        <w:keepLines w:val="0"/>
        <w:widowControl w:val="0"/>
        <w:shd w:val="clear" w:color="auto" w:fill="auto"/>
        <w:bidi w:val="0"/>
        <w:spacing w:before="0" w:after="0"/>
        <w:ind w:left="0" w:right="0" w:firstLine="740"/>
        <w:jc w:val="both"/>
      </w:pPr>
      <w:r>
        <w:rPr>
          <w:rStyle w:val="CharStyle12"/>
        </w:rPr>
        <w:t xml:space="preserve">Комиссией Управления установлено, что в руководстве пользователя на МФУ </w:t>
      </w:r>
      <w:r>
        <w:rPr>
          <w:rStyle w:val="CharStyle12"/>
          <w:lang w:val="en-US" w:eastAsia="en-US"/>
        </w:rPr>
        <w:t xml:space="preserve">SINDOH C300 </w:t>
      </w:r>
      <w:r>
        <w:rPr>
          <w:rStyle w:val="CharStyle12"/>
        </w:rPr>
        <w:t>на стр.142 указано следующее: «</w:t>
      </w:r>
      <w:r>
        <w:rPr>
          <w:rStyle w:val="CharStyle12"/>
          <w:i/>
          <w:iCs/>
        </w:rPr>
        <w:t xml:space="preserve">МФУ сконструирован таким образом, чтобы наилучшим образом использовать оригинальные компоненты и расходные материалы </w:t>
      </w:r>
      <w:r>
        <w:rPr>
          <w:rStyle w:val="CharStyle12"/>
          <w:i/>
          <w:iCs/>
          <w:lang w:val="en-US" w:eastAsia="en-US"/>
        </w:rPr>
        <w:t xml:space="preserve">Sindoh. </w:t>
      </w:r>
      <w:r>
        <w:rPr>
          <w:rStyle w:val="CharStyle12"/>
          <w:i/>
          <w:iCs/>
        </w:rPr>
        <w:t xml:space="preserve">Использование расходных материалов или компонентов сторонних производителей может повлиять на производительность, надежность или срок службы устройства и его компонентов. Это также может повлиять на гарантийные обязательства. Гарантия не распространяется на повреждения, вызванные использованием компонентов и расходных материалов сторонних производителей. Все индикаторы срока службы предназначены для работы с компонентами и расходными материалами </w:t>
      </w:r>
      <w:r>
        <w:rPr>
          <w:rStyle w:val="CharStyle12"/>
          <w:i/>
          <w:iCs/>
          <w:lang w:val="en-US" w:eastAsia="en-US"/>
        </w:rPr>
        <w:t xml:space="preserve">Sindoh </w:t>
      </w:r>
      <w:r>
        <w:rPr>
          <w:rStyle w:val="CharStyle12"/>
          <w:i/>
          <w:iCs/>
        </w:rPr>
        <w:t>и могут давать непредсказуемые результаты при использовании компонентов и расходных материалов сторонних производителей. Использование компонентов для обработки изображений сверх установленного срока службы может привести к повреждению МФУ или связанных с ним компонентов. Предупреждение: Риск повреждения! Расходные материалы и компоненты, не относящиеся к программе возврата, могут быть сброшены и восстановлены. Тем не менее, гарантийные обязательства производителя не распространяются на какие-либо повреждения, вызванные использованием неоригинальных расходных материалов или компонентов. Сброс счетчиков расходных материалов или компонентов без их надлежащего восстановления может стать причиной повреждения МФУ. После сброса показаний счетчика расходных материалов или компонентов на МФУ может отображаться сообщение об ошибке, указывающее на присутствие элемента, по которому был выполнен сброс</w:t>
      </w:r>
      <w:r>
        <w:rPr>
          <w:rStyle w:val="CharStyle12"/>
        </w:rPr>
        <w:t>.»</w:t>
      </w:r>
    </w:p>
    <w:p>
      <w:pPr>
        <w:pStyle w:val="Style11"/>
        <w:keepNext w:val="0"/>
        <w:keepLines w:val="0"/>
        <w:widowControl w:val="0"/>
        <w:shd w:val="clear" w:color="auto" w:fill="auto"/>
        <w:bidi w:val="0"/>
        <w:spacing w:before="0" w:after="0"/>
        <w:ind w:left="0" w:right="0" w:firstLine="740"/>
        <w:jc w:val="both"/>
      </w:pPr>
      <w:r>
        <w:rPr>
          <w:rStyle w:val="CharStyle12"/>
        </w:rPr>
        <w:t>Комиссия Управления отмечает, что в данном случае речь идёт не о фактической совместимости или несовместимости оборудования Заказчика и расходных материалов сторонних производителей, а о потребности Заказчика в оригинальных расходных материалов, для сохранении гарантии на имеющееся у него оборудование.</w:t>
      </w:r>
    </w:p>
    <w:p>
      <w:pPr>
        <w:pStyle w:val="Style11"/>
        <w:keepNext w:val="0"/>
        <w:keepLines w:val="0"/>
        <w:widowControl w:val="0"/>
        <w:shd w:val="clear" w:color="auto" w:fill="auto"/>
        <w:bidi w:val="0"/>
        <w:spacing w:before="0" w:after="0" w:line="324" w:lineRule="auto"/>
        <w:ind w:left="0" w:right="0" w:firstLine="740"/>
        <w:jc w:val="both"/>
        <w:rPr>
          <w:sz w:val="24"/>
          <w:szCs w:val="24"/>
        </w:rPr>
        <w:sectPr>
          <w:headerReference w:type="default" r:id="rId13"/>
          <w:footerReference w:type="default" r:id="rId14"/>
          <w:footnotePr>
            <w:pos w:val="pageBottom"/>
            <w:numFmt w:val="decimal"/>
            <w:numRestart w:val="continuous"/>
          </w:footnotePr>
          <w:pgSz w:w="11900" w:h="16840"/>
          <w:pgMar w:top="1162" w:right="534" w:bottom="620" w:left="1080" w:header="0" w:footer="192" w:gutter="0"/>
          <w:cols w:space="720"/>
          <w:noEndnote/>
          <w:rtlGutter w:val="0"/>
          <w:docGrid w:linePitch="360"/>
        </w:sectPr>
      </w:pPr>
      <w:r>
        <w:rPr>
          <w:rStyle w:val="CharStyle12"/>
        </w:rPr>
        <w:t xml:space="preserve">Таким образом, в случае неисправности оборудования Заказчика, по причине </w:t>
      </w:r>
      <w:r>
        <w:rPr>
          <w:rStyle w:val="CharStyle12"/>
          <w:sz w:val="24"/>
          <w:szCs w:val="24"/>
          <w:lang w:val="en-US" w:eastAsia="en-US"/>
        </w:rPr>
        <w:t>2026-24474</w:t>
      </w:r>
    </w:p>
    <w:p>
      <w:pPr>
        <w:pStyle w:val="Style11"/>
        <w:keepNext w:val="0"/>
        <w:keepLines w:val="0"/>
        <w:widowControl w:val="0"/>
        <w:shd w:val="clear" w:color="auto" w:fill="auto"/>
        <w:bidi w:val="0"/>
        <w:spacing w:before="0" w:after="0"/>
        <w:ind w:left="0" w:right="0" w:firstLine="0"/>
        <w:jc w:val="both"/>
      </w:pPr>
      <w:r>
        <w:rPr>
          <w:rStyle w:val="CharStyle12"/>
        </w:rPr>
        <w:t>использования расходных материалов иных производителей, Заказчик будет лишён права бесплатного ремонта оборудования.</w:t>
      </w:r>
    </w:p>
    <w:p>
      <w:pPr>
        <w:pStyle w:val="Style11"/>
        <w:keepNext w:val="0"/>
        <w:keepLines w:val="0"/>
        <w:widowControl w:val="0"/>
        <w:shd w:val="clear" w:color="auto" w:fill="auto"/>
        <w:bidi w:val="0"/>
        <w:spacing w:before="0" w:after="0"/>
        <w:ind w:left="0" w:right="0" w:firstLine="700"/>
        <w:jc w:val="both"/>
      </w:pPr>
      <w:r>
        <w:rPr>
          <w:rStyle w:val="CharStyle12"/>
        </w:rPr>
        <w:t>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11"/>
        <w:keepNext w:val="0"/>
        <w:keepLines w:val="0"/>
        <w:widowControl w:val="0"/>
        <w:shd w:val="clear" w:color="auto" w:fill="auto"/>
        <w:bidi w:val="0"/>
        <w:spacing w:before="0" w:after="0"/>
        <w:ind w:left="0" w:right="0" w:firstLine="700"/>
        <w:jc w:val="both"/>
      </w:pPr>
      <w:r>
        <w:rPr>
          <w:rStyle w:val="CharStyle12"/>
        </w:rPr>
        <w:t>Закон о контрактной системе не содержит норм, ограничивающих право Заказчика включать описание объекта закупки требования, которые являются для него объективно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1"/>
        <w:keepNext w:val="0"/>
        <w:keepLines w:val="0"/>
        <w:widowControl w:val="0"/>
        <w:shd w:val="clear" w:color="auto" w:fill="auto"/>
        <w:bidi w:val="0"/>
        <w:spacing w:before="0" w:after="0"/>
        <w:ind w:left="0" w:right="0" w:firstLine="700"/>
        <w:jc w:val="both"/>
      </w:pPr>
      <w:r>
        <w:rPr>
          <w:rStyle w:val="CharStyle12"/>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при наличии у Заказчика потребности в получении определенных товаров, вести речь о необоснованном ограничении им количества потенциальных участников размещения закупки не приходится,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На основании изложенного,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0"/>
        <w:ind w:left="0" w:right="0" w:firstLine="700"/>
        <w:jc w:val="both"/>
        <w:sectPr>
          <w:headerReference w:type="default" r:id="rId15"/>
          <w:footerReference w:type="default" r:id="rId16"/>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9"/>
        </w:numPr>
        <w:shd w:val="clear" w:color="auto" w:fill="auto"/>
        <w:tabs>
          <w:tab w:pos="1016" w:val="left"/>
        </w:tabs>
        <w:bidi w:val="0"/>
        <w:spacing w:before="0" w:after="0" w:line="240" w:lineRule="auto"/>
        <w:ind w:left="0" w:right="0" w:firstLine="720"/>
        <w:jc w:val="both"/>
      </w:pPr>
      <w:r>
        <w:rPr>
          <w:rStyle w:val="CharStyle12"/>
        </w:rPr>
        <w:t>.Признать жалобу ООО «Печатное мастерство» на действия ФКУ «Объединенная дирекция» Минстроя России необоснованной.</w:t>
      </w:r>
    </w:p>
    <w:p>
      <w:pPr>
        <w:pStyle w:val="Style11"/>
        <w:keepNext w:val="0"/>
        <w:keepLines w:val="0"/>
        <w:widowControl w:val="0"/>
        <w:numPr>
          <w:ilvl w:val="0"/>
          <w:numId w:val="9"/>
        </w:numPr>
        <w:shd w:val="clear" w:color="auto" w:fill="auto"/>
        <w:tabs>
          <w:tab w:pos="1045" w:val="left"/>
        </w:tabs>
        <w:bidi w:val="0"/>
        <w:spacing w:before="0" w:after="280" w:line="240" w:lineRule="auto"/>
        <w:ind w:left="0" w:right="0" w:firstLine="720"/>
        <w:jc w:val="both"/>
      </w:pPr>
      <w:r>
        <w:rPr>
          <w:rStyle w:val="CharStyle12"/>
        </w:rPr>
        <w:t>.Снять ограничения, наложенные на определение поставщика (подрядчика, исполнителя) Московским УФАС России.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2" w:bottom="1139" w:left="1106" w:header="0" w:footer="3" w:gutter="0"/>
          <w:cols w:space="720"/>
          <w:noEndnote/>
          <w:rtlGutter w:val="0"/>
          <w:docGrid w:linePitch="360"/>
        </w:sectPr>
      </w:pPr>
      <w:r>
        <mc:AlternateContent>
          <mc:Choice Requires="wps">
            <w:drawing>
              <wp:anchor distT="1143000" distB="340995" distL="0" distR="0" simplePos="0" relativeHeight="125829379" behindDoc="0" locked="0" layoutInCell="1" allowOverlap="1">
                <wp:simplePos x="0" y="0"/>
                <wp:positionH relativeFrom="page">
                  <wp:posOffset>739140</wp:posOffset>
                </wp:positionH>
                <wp:positionV relativeFrom="paragraph">
                  <wp:posOffset>1143000</wp:posOffset>
                </wp:positionV>
                <wp:extent cx="1844040" cy="250190"/>
                <wp:wrapTopAndBottom/>
                <wp:docPr id="16" name="Shape 16"/>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8.200000000000003pt;margin-top:90.pt;width:145.20000000000002pt;height:19.699999999999999pt;z-index:-125829374;mso-wrap-distance-left:0;mso-wrap-distance-top:90.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179830" distB="0" distL="0" distR="1786255" simplePos="0" relativeHeight="125829381" behindDoc="0" locked="0" layoutInCell="1" allowOverlap="1">
            <wp:simplePos x="0" y="0"/>
            <wp:positionH relativeFrom="page">
              <wp:posOffset>3180715</wp:posOffset>
            </wp:positionH>
            <wp:positionV relativeFrom="paragraph">
              <wp:posOffset>1179830</wp:posOffset>
            </wp:positionV>
            <wp:extent cx="389890" cy="55499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3671570</wp:posOffset>
                </wp:positionH>
                <wp:positionV relativeFrom="paragraph">
                  <wp:posOffset>1618615</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89.10000000000002pt;margin-top:127.45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3631565</wp:posOffset>
                </wp:positionH>
                <wp:positionV relativeFrom="paragraph">
                  <wp:posOffset>1301750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85.94999999999999pt;margin-top:102.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0" distB="340995" distL="0" distR="0" simplePos="0" relativeHeight="125829382" behindDoc="0" locked="0" layoutInCell="1" allowOverlap="1">
                <wp:simplePos x="0" y="0"/>
                <wp:positionH relativeFrom="page">
                  <wp:posOffset>5908675</wp:posOffset>
                </wp:positionH>
                <wp:positionV relativeFrom="paragraph">
                  <wp:posOffset>1143000</wp:posOffset>
                </wp:positionV>
                <wp:extent cx="1307465" cy="250190"/>
                <wp:wrapTopAndBottom/>
                <wp:docPr id="24" name="Shape 24"/>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50" type="#_x0000_t202" style="position:absolute;margin-left:465.25pt;margin-top:90.pt;width:102.95pt;height:19.699999999999999pt;z-index:-125829371;mso-wrap-distance-left:0;mso-wrap-distance-top:90.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Кутейников Антон Андреевич</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67950889C45403E5BD9EBC88A8D80C0D</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19.05.2025 </w:t>
      </w:r>
      <w:r>
        <w:rPr>
          <w:rStyle w:val="CharStyle20"/>
          <w:color w:val="5E5E5E"/>
        </w:rPr>
        <w:t xml:space="preserve">по </w:t>
      </w:r>
      <w:r>
        <w:rPr>
          <w:rStyle w:val="CharStyle20"/>
        </w:rPr>
        <w:t>12.08.2026</w:t>
      </w:r>
    </w:p>
    <w:p>
      <w:pPr>
        <w:pStyle w:val="Style11"/>
        <w:keepNext w:val="0"/>
        <w:keepLines w:val="0"/>
        <w:widowControl w:val="0"/>
        <w:shd w:val="clear" w:color="auto" w:fill="auto"/>
        <w:bidi w:val="0"/>
        <w:spacing w:before="0" w:after="6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3210560</wp:posOffset>
            </wp:positionH>
            <wp:positionV relativeFrom="paragraph">
              <wp:posOffset>63500</wp:posOffset>
            </wp:positionV>
            <wp:extent cx="359410" cy="52451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3670935</wp:posOffset>
                </wp:positionH>
                <wp:positionV relativeFrom="paragraph">
                  <wp:posOffset>468630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9.05000000000001pt;margin-top:36.89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3630930</wp:posOffset>
                </wp:positionH>
                <wp:positionV relativeFrom="paragraph">
                  <wp:posOffset>151765</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85.90000000000003pt;margin-top:11.95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19"/>
        <w:keepNext w:val="0"/>
        <w:keepLines w:val="0"/>
        <w:widowControl w:val="0"/>
        <w:shd w:val="clear" w:color="auto" w:fill="auto"/>
        <w:bidi w:val="0"/>
        <w:spacing w:before="0" w:after="0"/>
        <w:ind w:right="0" w:firstLine="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ind w:right="0" w:firstLine="0"/>
        <w:jc w:val="left"/>
      </w:pPr>
      <w:r>
        <w:rPr>
          <w:rStyle w:val="CharStyle20"/>
        </w:rPr>
        <w:t xml:space="preserve">Действителен с 22.07.2025 </w:t>
      </w:r>
      <w:r>
        <w:rPr>
          <w:rStyle w:val="CharStyle20"/>
          <w:color w:val="5E5E5E"/>
        </w:rPr>
        <w:t xml:space="preserve">по </w:t>
      </w:r>
      <w:r>
        <w:rPr>
          <w:rStyle w:val="CharStyle20"/>
        </w:rPr>
        <w:t>15.10.2026</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3210560</wp:posOffset>
            </wp:positionH>
            <wp:positionV relativeFrom="paragraph">
              <wp:posOffset>50800</wp:posOffset>
            </wp:positionV>
            <wp:extent cx="359410" cy="530225"/>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1"/>
                    <a:stretch/>
                  </pic:blipFill>
                  <pic:spPr>
                    <a:xfrm>
                      <a:ext cx="359410" cy="53022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3674110</wp:posOffset>
                </wp:positionH>
                <wp:positionV relativeFrom="paragraph">
                  <wp:posOffset>465455</wp:posOffset>
                </wp:positionV>
                <wp:extent cx="1280160" cy="100330"/>
                <wp:wrapNone/>
                <wp:docPr id="34" name="Shape 3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0" type="#_x0000_t202" style="position:absolute;margin-left:289.30000000000001pt;margin-top:36.649999999999999pt;width:100.8pt;height:7.9000000000000004pt;z-index:251657737;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3630930</wp:posOffset>
                </wp:positionH>
                <wp:positionV relativeFrom="paragraph">
                  <wp:posOffset>148590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85.90000000000003pt;margin-top:11.700000000000001pt;width:135.59999999999999pt;height:20.400000000000002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Гелмутдинова</w:t>
      </w:r>
    </w:p>
    <w:p>
      <w:pPr>
        <w:pStyle w:val="Style19"/>
        <w:keepNext w:val="0"/>
        <w:keepLines w:val="0"/>
        <w:widowControl w:val="0"/>
        <w:shd w:val="clear" w:color="auto" w:fill="auto"/>
        <w:bidi w:val="0"/>
        <w:spacing w:before="0" w:after="0"/>
        <w:ind w:right="0" w:firstLine="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2820"/>
        <w:ind w:right="0" w:firstLine="0"/>
        <w:jc w:val="left"/>
      </w:pPr>
      <w:r>
        <w:rPr>
          <w:rStyle w:val="CharStyle20"/>
        </w:rPr>
        <w:t xml:space="preserve">Действителен с 09.02.2026 </w:t>
      </w:r>
      <w:r>
        <w:rPr>
          <w:rStyle w:val="CharStyle20"/>
          <w:color w:val="5E5E5E"/>
        </w:rPr>
        <w:t xml:space="preserve">по </w:t>
      </w:r>
      <w:r>
        <w:rPr>
          <w:rStyle w:val="CharStyle20"/>
        </w:rPr>
        <w:t>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Исп.Гелмутдинова А.С. тел.8(495)784-75-05</w:t>
      </w:r>
    </w:p>
    <w:sectPr>
      <w:footnotePr>
        <w:pos w:val="pageBottom"/>
        <w:numFmt w:val="decimal"/>
        <w:numRestart w:val="continuous"/>
      </w:footnotePr>
      <w:type w:val="continuous"/>
      <w:pgSz w:w="11900" w:h="16840"/>
      <w:pgMar w:top="1158" w:right="532" w:bottom="113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8345" cy="103505"/>
              <wp:wrapNone/>
              <wp:docPr id="4" name="Shape 4"/>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2026-24474</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7.35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2026-24474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34695" cy="103505"/>
              <wp:wrapNone/>
              <wp:docPr id="6" name="Shape 6"/>
              <a:graphic xmlns:a="http://schemas.openxmlformats.org/drawingml/2006/main">
                <a:graphicData uri="http://schemas.microsoft.com/office/word/2010/wordprocessingShape">
                  <wps:wsp>
                    <wps:cNvSpPr txBox="1"/>
                    <wps:spPr>
                      <a:xfrm>
                        <a:ext cx="73469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2026-24474</w:t>
                          </w:r>
                        </w:p>
                      </w:txbxContent>
                    </wps:txbx>
                    <wps:bodyPr wrap="none" lIns="0" tIns="0" rIns="0" bIns="0">
                      <a:spAutoFit/>
                    </wps:bodyPr>
                  </wps:wsp>
                </a:graphicData>
              </a:graphic>
            </wp:anchor>
          </w:drawing>
        </mc:Choice>
        <mc:Fallback>
          <w:pict>
            <v:shape id="_x0000_s1032" type="#_x0000_t202" style="position:absolute;margin-left:57.pt;margin-top:804.5pt;width:57.85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2026-24474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8345" cy="103505"/>
              <wp:wrapNone/>
              <wp:docPr id="14" name="Shape 14"/>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2026-24474</w:t>
                          </w:r>
                        </w:p>
                      </w:txbxContent>
                    </wps:txbx>
                    <wps:bodyPr wrap="none" lIns="0" tIns="0" rIns="0" bIns="0">
                      <a:spAutoFit/>
                    </wps:bodyPr>
                  </wps:wsp>
                </a:graphicData>
              </a:graphic>
            </wp:anchor>
          </w:drawing>
        </mc:Choice>
        <mc:Fallback>
          <w:pict>
            <v:shape id="_x0000_s1040" type="#_x0000_t202" style="position:absolute;margin-left:57.200000000000003pt;margin-top:794.70000000000005pt;width:57.35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2026-24474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417830</wp:posOffset>
              </wp:positionV>
              <wp:extent cx="73025" cy="121920"/>
              <wp:wrapNone/>
              <wp:docPr id="2" name="Shape 2"/>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32.899999999999999pt;width:5.75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3919855</wp:posOffset>
              </wp:positionH>
              <wp:positionV relativeFrom="page">
                <wp:posOffset>509270</wp:posOffset>
              </wp:positionV>
              <wp:extent cx="76200" cy="69850"/>
              <wp:wrapNone/>
              <wp:docPr id="10" name="Shape 10"/>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8.65000000000003pt;margin-top:40.100000000000001pt;width:6.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417830</wp:posOffset>
              </wp:positionV>
              <wp:extent cx="73025" cy="121920"/>
              <wp:wrapNone/>
              <wp:docPr id="12" name="Shape 12"/>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9.19999999999999pt;margin-top:32.899999999999999pt;width:5.75pt;height:9.59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spacing w:line="266" w:lineRule="auto"/>
      <w:ind w:left="3980"/>
    </w:pPr>
    <w:rPr>
      <w:rFonts w:ascii="Arial" w:eastAsia="Arial" w:hAnsi="Arial" w:cs="Arial"/>
      <w:b w:val="0"/>
      <w:bCs w:val="0"/>
      <w:i w:val="0"/>
      <w:iCs w:val="0"/>
      <w:smallCaps w:val="0"/>
      <w:strike w:val="0"/>
      <w:color w:val="434343"/>
      <w:sz w:val="12"/>
      <w:szCs w:val="12"/>
      <w:u w:val="none"/>
    </w:rPr>
  </w:style>
  <w:style w:type="paragraph" w:customStyle="1" w:styleId="Style24">
    <w:name w:val="Body text (4)"/>
    <w:basedOn w:val="Normal"/>
    <w:link w:val="CharStyle25"/>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