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015" w:right="535" w:bottom="1206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4064635</wp:posOffset>
                </wp:positionH>
                <wp:positionV relativeFrom="paragraph">
                  <wp:posOffset>101600</wp:posOffset>
                </wp:positionV>
                <wp:extent cx="1926590" cy="118237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6590" cy="1182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</w:rPr>
                              <w:t>Заявитель: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ООО «Медикал-про»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</w:rPr>
                              <w:t>Заказчик: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ГБУЗ «Камчатская краевая детская больница»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20.05000000000001pt;margin-top:8.pt;width:151.70000000000002pt;height:93.10000000000000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u w:val="single"/>
                        </w:rPr>
                        <w:t>Заявитель: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ООО «Медикал-про»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u w:val="single"/>
                        </w:rPr>
                        <w:t>Заказчик: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ГБУЗ «Камчатская краевая детская больница»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9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2"/>
          <w:b/>
          <w:bCs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</w:rPr>
        <w:t>пр-т Карла Маркса, д. 29/2,</w:t>
        <w:br/>
        <w:t>Петропавловск-Камчатский, 683031</w:t>
        <w:br/>
        <w:t xml:space="preserve">тел. </w:t>
      </w:r>
      <w:r>
        <w:rPr>
          <w:rStyle w:val="CharStyle9"/>
          <w:color w:val="737B8C"/>
        </w:rPr>
        <w:t xml:space="preserve">/ </w:t>
      </w:r>
      <w:r>
        <w:rPr>
          <w:rStyle w:val="CharStyle9"/>
        </w:rPr>
        <w:t>факс (499) 755-23-23 доб. 041-100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"mailto:to41@fas.gov.ru" </w:instrText>
      </w:r>
      <w:r>
        <w:fldChar w:fldCharType="separate"/>
      </w:r>
      <w:r>
        <w:rPr>
          <w:rStyle w:val="CharStyle9"/>
          <w:lang w:val="en-US" w:eastAsia="en-US"/>
        </w:rPr>
        <w:t>to41@fas.gov.ru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5"/>
          <w:u w:val="none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5"/>
          <w:u w:val="none"/>
        </w:rPr>
        <w:t>9.0</w:t>
      </w:r>
      <w:r>
        <w:rPr>
          <w:rStyle w:val="CharStyle15"/>
        </w:rPr>
        <w:t>5.2026</w:t>
      </w:r>
      <w:r>
        <w:rPr>
          <w:rStyle w:val="CharStyle15"/>
          <w:u w:val="none"/>
        </w:rPr>
        <w:tab/>
      </w:r>
      <w:r>
        <w:fldChar w:fldCharType="end"/>
      </w:r>
      <w:r>
        <w:rPr>
          <w:rStyle w:val="CharStyle15"/>
          <w:u w:val="none"/>
        </w:rPr>
        <w:t xml:space="preserve">№ </w:t>
      </w:r>
      <w:r>
        <w:rPr>
          <w:rStyle w:val="CharStyle15"/>
        </w:rPr>
        <w:t>ЕФ/1493/2</w:t>
      </w:r>
      <w:r>
        <w:rPr>
          <w:rStyle w:val="CharStyle15"/>
          <w:u w:val="none"/>
        </w:rPr>
        <w:t>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2"/>
          <w:sz w:val="18"/>
          <w:szCs w:val="18"/>
        </w:rPr>
        <w:t xml:space="preserve">На №  от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6"/>
          <w:sz w:val="24"/>
          <w:szCs w:val="24"/>
        </w:rPr>
        <w:t>О результатах рассмотрения жалобы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rStyle w:val="CharStyle20"/>
          <w:b/>
          <w:bCs/>
        </w:rPr>
        <w:t>РЕШЕНИЕ</w:t>
      </w:r>
      <w:bookmarkEnd w:id="2"/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bookmarkStart w:id="4" w:name="bookmark4"/>
      <w:r>
        <w:rPr>
          <w:rStyle w:val="CharStyle20"/>
          <w:b/>
          <w:bCs/>
        </w:rPr>
        <w:t>по делу № 041/06/105-332/2026 о нарушении</w:t>
        <w:br/>
        <w:t>законодательства Российской Федерации</w:t>
        <w:br/>
        <w:t>о контрактной системе в сфере закупок</w:t>
      </w:r>
      <w:bookmarkEnd w:id="4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28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12700</wp:posOffset>
                </wp:positionV>
                <wp:extent cx="966470" cy="23495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64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15 мая 2026 г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800000000000004pt;margin-top:1.pt;width:76.100000000000009pt;height:18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15 мая 2026 г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6"/>
        </w:rPr>
        <w:t>г. Петропавловск-Камчатский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Комиссия Управления Федеральной антимонопольной службы по Камчатскому краю (далее – Камчатское УФАС России) по контролю в сфере закупок и рассмотрению жалоб в порядке, предусмотренном статьей 18.1 Федерального закона от 26.07.2006 № 135-ФЗ «О защите конкуренции» (далее – Комиссия)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председателя Комиссии – руководителя Камчатского УФАС России Фисенко Е.В., членов Комиссии: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начальника отдела контроля закупок Шихановой Л.Б.,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главного специалиста-эксперта отдела контроля закупок Ковалевой С.А., в отсутствие: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заказчика – государственного бюджетного учреждения здравоохранения «Камчатская краевая детская больница» (далее – Заказчик),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rStyle w:val="CharStyle6"/>
        </w:rPr>
        <w:t>заявителя – общества с ограниченной ответственностью «Медикал-про» (далее – Заявитель), уведомленного о времени и месте рассмотрения жалобы через ЕИС, осуществив рассмотрение жалобы Заявителя на действия Заказчика при определении исполнителя путем электронного аукциона на поставку медицинских изделий (цистоскоп операционный, размер № 6 - 12) ввод в эксплуатацию медицинских изделий, обучение правилам эксплуатации специалистов, эксплуатирующих медицинские изделия (закупка № 0338200008626000215),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6" w:name="bookmark6"/>
      <w:r>
        <w:rPr>
          <w:rStyle w:val="CharStyle22"/>
        </w:rPr>
        <w:t>1IIIIII1IIIIIIIIIIIIIIIII</w:t>
      </w:r>
      <w:bookmarkEnd w:id="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 xml:space="preserve">государственных и муниципальных нужд» (далее </w:t>
      </w:r>
      <w:r>
        <w:rPr>
          <w:rStyle w:val="CharStyle6"/>
          <w:lang w:val="en-US" w:eastAsia="en-US"/>
        </w:rPr>
        <w:t xml:space="preserve">– </w:t>
      </w:r>
      <w:r>
        <w:rPr>
          <w:rStyle w:val="CharStyle6"/>
        </w:rPr>
        <w:t>Закон о контрактной системе)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8" w:name="bookmark8"/>
      <w:r>
        <w:rPr>
          <w:rStyle w:val="CharStyle20"/>
          <w:b/>
          <w:bCs/>
        </w:rPr>
        <w:t>УСТАНОВИЛА</w:t>
      </w:r>
      <w:r>
        <w:rPr>
          <w:rStyle w:val="CharStyle20"/>
        </w:rPr>
        <w:t>:</w:t>
      </w:r>
      <w:bookmarkEnd w:id="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 xml:space="preserve">Заказчиком проводилась процедура определения поставщика путем электронного аукциона на поставку медицинских изделий (цистоскоп операционный, размер </w:t>
      </w:r>
      <w:r>
        <w:rPr>
          <w:rStyle w:val="CharStyle6"/>
          <w:lang w:val="en-US" w:eastAsia="en-US"/>
        </w:rPr>
        <w:t xml:space="preserve">№ 6 - 12) </w:t>
      </w:r>
      <w:r>
        <w:rPr>
          <w:rStyle w:val="CharStyle6"/>
        </w:rPr>
        <w:t xml:space="preserve">ввод в эксплуатацию медицинских изделий, обучение правилам эксплуатации специалистов, эксплуатирующих медицинские изделия (закупка </w:t>
      </w:r>
      <w:r>
        <w:rPr>
          <w:rStyle w:val="CharStyle6"/>
          <w:lang w:val="en-US" w:eastAsia="en-US"/>
        </w:rPr>
        <w:t xml:space="preserve">№ 0338200008626000215) </w:t>
      </w:r>
      <w:r>
        <w:rPr>
          <w:rStyle w:val="CharStyle6"/>
        </w:rPr>
        <w:t xml:space="preserve">(далее </w:t>
      </w:r>
      <w:r>
        <w:rPr>
          <w:rStyle w:val="CharStyle6"/>
          <w:lang w:val="en-US" w:eastAsia="en-US"/>
        </w:rPr>
        <w:t xml:space="preserve">– </w:t>
      </w:r>
      <w:r>
        <w:rPr>
          <w:rStyle w:val="CharStyle6"/>
        </w:rPr>
        <w:t>Закупка).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 xml:space="preserve">Извещение с приложением электронных документов размещено в Единой информационной системе (ЕИС) </w:t>
      </w:r>
      <w:r>
        <w:rPr>
          <w:rStyle w:val="CharStyle6"/>
          <w:lang w:val="en-US" w:eastAsia="en-US"/>
        </w:rPr>
        <w:t>30.04.2026.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rStyle w:val="CharStyle6"/>
        </w:rPr>
        <w:t xml:space="preserve">Начальная (максимальная) цена контракта (НМЦК) установлена в размере </w:t>
      </w:r>
      <w:r>
        <w:rPr>
          <w:rStyle w:val="CharStyle6"/>
          <w:lang w:val="en-US" w:eastAsia="en-US"/>
        </w:rPr>
        <w:t xml:space="preserve">2 514 724,00 </w:t>
      </w:r>
      <w:r>
        <w:rPr>
          <w:rStyle w:val="CharStyle6"/>
        </w:rPr>
        <w:t>рублей.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rStyle w:val="CharStyle6"/>
          <w:lang w:val="en-US" w:eastAsia="en-US"/>
        </w:rPr>
        <w:t xml:space="preserve">08.05.2026 </w:t>
      </w:r>
      <w:r>
        <w:rPr>
          <w:rStyle w:val="CharStyle6"/>
        </w:rPr>
        <w:t>в Камчатское УФАС России поступила жалоба Заявителя на действия Заказчика. В жалобе Заявитель указывает, что характеристики, установленные заказчиком в извещении, являются излишними, что влечет за собой ограничение количества участников закупки. Описание объекта закупки составлено с нарушением, описанию не отвечает товар ни одного производителя. Тем самым действия Заказчика ограничивают конкуренцию, так как не позволяют подать заявку, соответствующую требованиям извещения.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 xml:space="preserve">В результате рассмотрения жалобы и осуществления в соответствии с пунктом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15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99 </w:t>
      </w:r>
      <w:r>
        <w:rPr>
          <w:rStyle w:val="CharStyle6"/>
        </w:rPr>
        <w:t>Закона о контрактной системе внеплановой проверки Комиссия установила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 xml:space="preserve">В соответствии с </w:t>
      </w:r>
      <w:r>
        <w:fldChar w:fldCharType="begin"/>
      </w:r>
      <w:r>
        <w:rPr/>
        <w:instrText> HYPERLINK "https://login.consultant.ru/link/?req=doc&amp;base=LAW&amp;n=469794&amp;dst=2279" </w:instrText>
      </w:r>
      <w:r>
        <w:fldChar w:fldCharType="separate"/>
      </w:r>
      <w:r>
        <w:rPr>
          <w:rStyle w:val="CharStyle6"/>
        </w:rPr>
        <w:t xml:space="preserve">частью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>42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>Согласно</w:t>
      </w:r>
      <w:r>
        <w:fldChar w:fldCharType="begin"/>
      </w:r>
      <w:r>
        <w:rPr/>
        <w:instrText> HYPERLINK "https://login.consultant.ru/link/?req=doc&amp;base=LAW&amp;n=469794&amp;dst=2284" </w:instrText>
      </w:r>
      <w:r>
        <w:fldChar w:fldCharType="separate"/>
      </w:r>
      <w:r>
        <w:rPr>
          <w:rStyle w:val="CharStyle6"/>
        </w:rPr>
        <w:t xml:space="preserve"> пункту </w:t>
      </w:r>
      <w:r>
        <w:rPr>
          <w:rStyle w:val="CharStyle6"/>
          <w:lang w:val="en-US" w:eastAsia="en-US"/>
        </w:rPr>
        <w:t xml:space="preserve">5 </w:t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>42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</w:t>
      </w:r>
      <w:r>
        <w:fldChar w:fldCharType="begin"/>
      </w:r>
      <w:r>
        <w:rPr/>
        <w:instrText> HYPERLINK "https://login.consultant.ru/link/?req=doc&amp;base=LAW&amp;n=469794&amp;dst=100262" </w:instrText>
      </w:r>
      <w:r>
        <w:fldChar w:fldCharType="separate"/>
      </w:r>
      <w:r>
        <w:rPr>
          <w:rStyle w:val="CharStyle6"/>
        </w:rPr>
        <w:t xml:space="preserve"> частью </w:t>
      </w:r>
      <w:r>
        <w:rPr>
          <w:rStyle w:val="CharStyle6"/>
          <w:lang w:val="en-US" w:eastAsia="en-US"/>
        </w:rPr>
        <w:t xml:space="preserve">6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>23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 xml:space="preserve">В силу </w:t>
      </w:r>
      <w:r>
        <w:fldChar w:fldCharType="begin"/>
      </w:r>
      <w:r>
        <w:rPr/>
        <w:instrText> HYPERLINK "https://login.consultant.ru/link/?req=doc&amp;base=LAW&amp;n=469794&amp;dst=100262" </w:instrText>
      </w:r>
      <w:r>
        <w:fldChar w:fldCharType="separate"/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6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>23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fldChar w:fldCharType="begin"/>
      </w:r>
      <w:r>
        <w:rPr/>
        <w:instrText> HYPERLINK "https://login.consultant.ru/link/?req=doc&amp;base=LAW&amp;n=443546&amp;dst=100019" </w:instrText>
      </w:r>
      <w:r>
        <w:fldChar w:fldCharType="separate"/>
      </w:r>
      <w:r>
        <w:rPr>
          <w:rStyle w:val="CharStyle6"/>
        </w:rPr>
        <w:t>Правила</w:t>
      </w:r>
      <w:r>
        <w:fldChar w:fldCharType="end"/>
      </w:r>
      <w:r>
        <w:rPr>
          <w:rStyle w:val="CharStyle6"/>
        </w:rPr>
        <w:t xml:space="preserve">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Правила формирования КТРУ) и </w:t>
      </w:r>
      <w:r>
        <w:fldChar w:fldCharType="begin"/>
      </w:r>
      <w:r>
        <w:rPr/>
        <w:instrText> HYPERLINK "https://login.consultant.ru/link/?req=doc&amp;base=LAW&amp;n=443546&amp;dst=100076" </w:instrText>
      </w:r>
      <w:r>
        <w:fldChar w:fldCharType="separate"/>
      </w:r>
      <w:r>
        <w:rPr>
          <w:rStyle w:val="CharStyle6"/>
        </w:rPr>
        <w:t>Правила</w:t>
      </w:r>
      <w:r>
        <w:fldChar w:fldCharType="end"/>
      </w:r>
      <w:r>
        <w:rPr>
          <w:rStyle w:val="CharStyle6"/>
        </w:rPr>
        <w:t xml:space="preserve"> использования каталога товаров, работ услуг для обеспечения государственных и муниципальных нужд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>Правила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 xml:space="preserve">использования КТРУ) утверждены Постановлением Правительства РФ от </w:t>
      </w:r>
      <w:r>
        <w:rPr>
          <w:rStyle w:val="CharStyle6"/>
          <w:lang w:val="en-US" w:eastAsia="en-US"/>
        </w:rPr>
        <w:t xml:space="preserve">08.02.2017 № 145 </w:t>
      </w:r>
      <w:r>
        <w:rPr>
          <w:rStyle w:val="CharStyle6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Постановление </w:t>
      </w:r>
      <w:r>
        <w:rPr>
          <w:rStyle w:val="CharStyle6"/>
          <w:lang w:val="en-US" w:eastAsia="en-US"/>
        </w:rPr>
        <w:t>№ 145).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 xml:space="preserve">Согласно </w:t>
      </w:r>
      <w:r>
        <w:fldChar w:fldCharType="begin"/>
      </w:r>
      <w:r>
        <w:rPr/>
        <w:instrText> HYPERLINK "https://login.consultant.ru/link/?req=doc&amp;base=LAW&amp;n=443546&amp;dst=100146" </w:instrText>
      </w:r>
      <w:r>
        <w:fldChar w:fldCharType="separate"/>
      </w:r>
      <w:r>
        <w:rPr>
          <w:rStyle w:val="CharStyle6"/>
        </w:rPr>
        <w:t xml:space="preserve">пункту </w:t>
      </w:r>
      <w:r>
        <w:rPr>
          <w:rStyle w:val="CharStyle6"/>
          <w:lang w:val="en-US" w:eastAsia="en-US"/>
        </w:rPr>
        <w:t xml:space="preserve">4 </w:t>
      </w:r>
      <w:r>
        <w:fldChar w:fldCharType="end"/>
      </w:r>
      <w:r>
        <w:rPr>
          <w:rStyle w:val="CharStyle6"/>
        </w:rPr>
        <w:t xml:space="preserve">Правил использования КТРУ Заказчики обязаны применять информацию, включенную в позицию каталога в соответствии с </w:t>
      </w:r>
      <w:r>
        <w:fldChar w:fldCharType="begin"/>
      </w:r>
      <w:r>
        <w:rPr/>
        <w:instrText> HYPERLINK "https://login.consultant.ru/link/?req=doc&amp;base=LAW&amp;n=443546&amp;dst=100036" </w:instrText>
      </w:r>
      <w:r>
        <w:fldChar w:fldCharType="separate"/>
      </w:r>
      <w:r>
        <w:rPr>
          <w:rStyle w:val="CharStyle6"/>
        </w:rPr>
        <w:t>подпунктами «б</w:t>
      </w:r>
      <w:r>
        <w:fldChar w:fldCharType="end"/>
      </w:r>
      <w:r>
        <w:rPr>
          <w:rStyle w:val="CharStyle6"/>
        </w:rPr>
        <w:t xml:space="preserve">» </w:t>
      </w:r>
      <w:r>
        <w:rPr>
          <w:rStyle w:val="CharStyle6"/>
          <w:lang w:val="en-US" w:eastAsia="en-US"/>
        </w:rPr>
        <w:t>-</w:t>
      </w:r>
      <w:r>
        <w:fldChar w:fldCharType="begin"/>
      </w:r>
      <w:r>
        <w:rPr/>
        <w:instrText> HYPERLINK "https://login.consultant.ru/link/?req=doc&amp;base=LAW&amp;n=443546&amp;dst=100117" </w:instrText>
      </w:r>
      <w:r>
        <w:fldChar w:fldCharType="separate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«г</w:t>
      </w:r>
      <w:r>
        <w:fldChar w:fldCharType="end"/>
      </w:r>
      <w:r>
        <w:rPr>
          <w:rStyle w:val="CharStyle6"/>
        </w:rPr>
        <w:t xml:space="preserve">» и </w:t>
      </w:r>
      <w:r>
        <w:fldChar w:fldCharType="begin"/>
      </w:r>
      <w:r>
        <w:rPr/>
        <w:instrText> HYPERLINK "https://login.consultant.ru/link/?req=doc&amp;base=LAW&amp;n=443546&amp;dst=100119" </w:instrText>
      </w:r>
      <w:r>
        <w:fldChar w:fldCharType="separate"/>
      </w:r>
      <w:r>
        <w:rPr>
          <w:rStyle w:val="CharStyle6"/>
        </w:rPr>
        <w:t>«е</w:t>
      </w:r>
      <w:r>
        <w:fldChar w:fldCharType="end"/>
      </w:r>
      <w:r>
        <w:rPr>
          <w:rStyle w:val="CharStyle6"/>
        </w:rPr>
        <w:t xml:space="preserve">» </w:t>
      </w:r>
      <w:r>
        <w:rPr>
          <w:rStyle w:val="CharStyle6"/>
          <w:lang w:val="en-US" w:eastAsia="en-US"/>
        </w:rPr>
        <w:t>-</w:t>
      </w:r>
      <w:r>
        <w:fldChar w:fldCharType="begin"/>
      </w:r>
      <w:r>
        <w:rPr/>
        <w:instrText> HYPERLINK "https://login.consultant.ru/link/?req=doc&amp;base=LAW&amp;n=443546&amp;dst=100121" </w:instrText>
      </w:r>
      <w:r>
        <w:fldChar w:fldCharType="separate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 xml:space="preserve">«з» пункта </w:t>
      </w:r>
      <w:r>
        <w:rPr>
          <w:rStyle w:val="CharStyle6"/>
          <w:lang w:val="en-US" w:eastAsia="en-US"/>
        </w:rPr>
        <w:t>10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</w:t>
      </w:r>
      <w:r>
        <w:rPr>
          <w:rStyle w:val="CharStyle6"/>
          <w:lang w:val="en-US" w:eastAsia="en-US"/>
        </w:rPr>
        <w:t xml:space="preserve">№ 145, </w:t>
      </w:r>
      <w:r>
        <w:rPr>
          <w:rStyle w:val="CharStyle6"/>
        </w:rPr>
        <w:t>с указанной в ней даты начала обязательного применения.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6"/>
        </w:rPr>
        <w:t>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6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>наименование товара, работы, услуги;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1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6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>описание товара, работы, услуги (при наличии такого описания в позиции).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>Согласно</w:t>
      </w:r>
      <w:r>
        <w:fldChar w:fldCharType="begin"/>
      </w:r>
      <w:r>
        <w:rPr/>
        <w:instrText> HYPERLINK "https://login.consultant.ru/link/?req=doc&amp;base=LAW&amp;n=469794&amp;dst=2304" </w:instrText>
      </w:r>
      <w:r>
        <w:fldChar w:fldCharType="separate"/>
      </w:r>
      <w:r>
        <w:rPr>
          <w:rStyle w:val="CharStyle6"/>
        </w:rPr>
        <w:t xml:space="preserve"> пункту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>42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 xml:space="preserve">Закона о контрактной системе извещение об осуществлении закупки, если иное не предусмотрено настоящим Федеральным </w:t>
      </w:r>
      <w:r>
        <w:fldChar w:fldCharType="begin"/>
      </w:r>
      <w:r>
        <w:rPr/>
        <w:instrText> HYPERLINK "https://login.consultant.ru/link/?req=doc&amp;base=LAW&amp;n=469794" </w:instrText>
      </w:r>
      <w:r>
        <w:fldChar w:fldCharType="separate"/>
      </w:r>
      <w:r>
        <w:rPr>
          <w:rStyle w:val="CharStyle6"/>
        </w:rPr>
        <w:t>законом</w:t>
      </w:r>
      <w:r>
        <w:fldChar w:fldCharType="end"/>
      </w:r>
      <w:r>
        <w:rPr>
          <w:rStyle w:val="CharStyle6"/>
        </w:rPr>
        <w:t xml:space="preserve"> должно содержать описание объекта закупки в соответствии со</w:t>
      </w:r>
      <w:r>
        <w:fldChar w:fldCharType="begin"/>
      </w:r>
      <w:r>
        <w:rPr/>
        <w:instrText> HYPERLINK "https://login.consultant.ru/link/?req=doc&amp;base=LAW&amp;n=469794&amp;dst=100386" </w:instrText>
      </w:r>
      <w:r>
        <w:fldChar w:fldCharType="separate"/>
      </w:r>
      <w:r>
        <w:rPr>
          <w:rStyle w:val="CharStyle6"/>
        </w:rPr>
        <w:t xml:space="preserve"> статьей </w:t>
      </w:r>
      <w:r>
        <w:rPr>
          <w:rStyle w:val="CharStyle6"/>
          <w:lang w:val="en-US" w:eastAsia="en-US"/>
        </w:rPr>
        <w:t>33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настоящего Федерального закона.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>В соответствии с</w:t>
      </w:r>
      <w:r>
        <w:fldChar w:fldCharType="begin"/>
      </w:r>
      <w:r>
        <w:rPr/>
        <w:instrText> HYPERLINK "https://login.consultant.ru/link/?req=doc&amp;base=LAW&amp;n=469794&amp;dst=12213" </w:instrText>
      </w:r>
      <w:r>
        <w:fldChar w:fldCharType="separate"/>
      </w:r>
      <w:r>
        <w:rPr>
          <w:rStyle w:val="CharStyle6"/>
        </w:rPr>
        <w:t xml:space="preserve"> пунктом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>33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 xml:space="preserve">Согласно части </w:t>
      </w:r>
      <w:r>
        <w:rPr>
          <w:rStyle w:val="CharStyle6"/>
          <w:lang w:val="en-US" w:eastAsia="en-US"/>
        </w:rPr>
        <w:t>2</w:t>
      </w:r>
      <w:r>
        <w:fldChar w:fldCharType="begin"/>
      </w:r>
      <w:r>
        <w:rPr/>
        <w:instrText> HYPERLINK "https://login.consultant.ru/link/?req=doc&amp;base=LAW&amp;n=469794&amp;dst=100386" </w:instrText>
      </w:r>
      <w:r>
        <w:fldChar w:fldCharType="separate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>33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Закона о контрактной системе описание объекта закупки в соответствии с требованиями, указанными в</w:t>
      </w:r>
      <w:r>
        <w:fldChar w:fldCharType="begin"/>
      </w:r>
      <w:r>
        <w:rPr/>
        <w:instrText> HYPERLINK "https://login.consultant.ru/link/?req=doc&amp;base=LAW&amp;n=469794&amp;dst=2228" </w:instrText>
      </w:r>
      <w:r>
        <w:fldChar w:fldCharType="separate"/>
      </w:r>
      <w:r>
        <w:rPr>
          <w:rStyle w:val="CharStyle6"/>
        </w:rPr>
        <w:t xml:space="preserve"> части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>настоящей статьи</w:t>
      </w:r>
      <w:r>
        <w:fldChar w:fldCharType="end"/>
      </w:r>
      <w:r>
        <w:rPr>
          <w:rStyle w:val="CharStyle6"/>
        </w:rPr>
        <w:t>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>Согласно</w:t>
      </w:r>
      <w:r>
        <w:fldChar w:fldCharType="begin"/>
      </w:r>
      <w:r>
        <w:rPr/>
        <w:instrText> HYPERLINK "https://login.consultant.ru/link/?req=doc&amp;base=LAW&amp;n=469794&amp;dst=100386" </w:instrText>
      </w:r>
      <w:r>
        <w:fldChar w:fldCharType="separate"/>
      </w:r>
      <w:r>
        <w:rPr>
          <w:rStyle w:val="CharStyle6"/>
        </w:rPr>
        <w:t xml:space="preserve"> статье </w:t>
      </w:r>
      <w:r>
        <w:rPr>
          <w:rStyle w:val="CharStyle6"/>
          <w:lang w:val="en-US" w:eastAsia="en-US"/>
        </w:rPr>
        <w:t>33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Закона о контрактной системе, при формировании технического задания заказчику предоставлены полномочия по самостоятельному определению специфики параметров и характеристик товара в наибольшей степени удовлетворяющих его потребности.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>При этом заказчик наделен правом устанавливать описание объекта закупки в объеме необходимом и достаточном для обеспечения своих нужд.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rStyle w:val="CharStyle6"/>
        </w:rPr>
        <w:t>Вместе с тем, установленные заказчиком требования к характеристикам товара не должны ограничивать количество участников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both"/>
      </w:pPr>
      <w:r>
        <w:rPr>
          <w:rStyle w:val="CharStyle6"/>
        </w:rPr>
        <w:t xml:space="preserve">Предметом Закупки согласно извещению являлся «видеоцистоскоп гибкий, многоразового использования» код КТРУ </w:t>
      </w:r>
      <w:r>
        <w:rPr>
          <w:rStyle w:val="CharStyle6"/>
          <w:lang w:val="en-US" w:eastAsia="en-US"/>
        </w:rPr>
        <w:t xml:space="preserve">26.60.12.119-00000367, </w:t>
      </w:r>
      <w:r>
        <w:rPr>
          <w:rStyle w:val="CharStyle6"/>
        </w:rPr>
        <w:t xml:space="preserve">описание характеристик товара отсутствует. Описание выполнено в соответствии с характеристиками по выбору Заказчика, что соответствует части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33 </w:t>
      </w:r>
      <w:r>
        <w:rPr>
          <w:rStyle w:val="CharStyle6"/>
        </w:rPr>
        <w:t>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 xml:space="preserve">Как следует из протокола подведения итогов определения поставщика от </w:t>
      </w:r>
      <w:r>
        <w:rPr>
          <w:rStyle w:val="CharStyle6"/>
          <w:lang w:val="en-US" w:eastAsia="en-US"/>
        </w:rPr>
        <w:t xml:space="preserve">12.05.2026, </w:t>
      </w:r>
      <w:r>
        <w:rPr>
          <w:rStyle w:val="CharStyle6"/>
        </w:rPr>
        <w:t>на участие в закупке подана только одна заявка, аукцион признан несостоявшимся.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 xml:space="preserve">Заказчиком не представлены на рассмотрение Комиссии сведения, подтверждающие возможность поставки товара с указанными характеристиками разных производителей, а также то, что установленные требования к характеристикам Товара являются значимыми для Заказчика, а потребность в товаре с данными характеристиками </w:t>
      </w:r>
      <w:r>
        <w:rPr>
          <w:rStyle w:val="CharStyle6"/>
          <w:lang w:val="en-US" w:eastAsia="en-US"/>
        </w:rPr>
        <w:t xml:space="preserve">– </w:t>
      </w:r>
      <w:r>
        <w:rPr>
          <w:rStyle w:val="CharStyle6"/>
        </w:rPr>
        <w:t>обоснованной.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 xml:space="preserve">Заявителем представлено официальное письмо официального дистрибьютера эндоскопов «Восток» на территории Российской Федерации </w:t>
      </w:r>
      <w:r>
        <w:rPr>
          <w:rStyle w:val="CharStyle6"/>
          <w:lang w:val="en-US" w:eastAsia="en-US"/>
        </w:rPr>
        <w:t xml:space="preserve">– </w:t>
      </w:r>
      <w:r>
        <w:rPr>
          <w:rStyle w:val="CharStyle6"/>
        </w:rPr>
        <w:t xml:space="preserve">компании ООО «Карл Шторц» от </w:t>
      </w:r>
      <w:r>
        <w:rPr>
          <w:rStyle w:val="CharStyle6"/>
          <w:lang w:val="en-US" w:eastAsia="en-US"/>
        </w:rPr>
        <w:t xml:space="preserve">14.05.2026 </w:t>
      </w:r>
      <w:r>
        <w:rPr>
          <w:rStyle w:val="CharStyle6"/>
        </w:rPr>
        <w:t xml:space="preserve">за </w:t>
      </w:r>
      <w:r>
        <w:rPr>
          <w:rStyle w:val="CharStyle6"/>
          <w:lang w:val="en-US" w:eastAsia="en-US"/>
        </w:rPr>
        <w:t xml:space="preserve">№ 26/2261, </w:t>
      </w:r>
      <w:r>
        <w:rPr>
          <w:rStyle w:val="CharStyle6"/>
        </w:rPr>
        <w:t xml:space="preserve">уведомляющего, что фирмой не производится оборудование с указанными в Извещении параметрами (полем зрения равным или больше </w:t>
      </w:r>
      <w:r>
        <w:rPr>
          <w:rStyle w:val="CharStyle6"/>
          <w:lang w:val="en-US" w:eastAsia="en-US"/>
        </w:rPr>
        <w:t xml:space="preserve">120 </w:t>
      </w:r>
      <w:r>
        <w:rPr>
          <w:rStyle w:val="CharStyle6"/>
        </w:rPr>
        <w:t>градусов).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 xml:space="preserve">Поскольку заказчиком не представлены доказательства получения не менее двух коммерческих предложений для формирования извещения о проведении закупки, Комиссия приходит к выводу, что Заказчиком нарушены правила описания объекта закупки, установленные частью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33 </w:t>
      </w:r>
      <w:r>
        <w:rPr>
          <w:rStyle w:val="CharStyle6"/>
        </w:rPr>
        <w:t>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 xml:space="preserve">Ответственность за совершение данного правонарушения предусмотрена статьей </w:t>
      </w:r>
      <w:r>
        <w:rPr>
          <w:rStyle w:val="CharStyle6"/>
          <w:lang w:val="en-US" w:eastAsia="en-US"/>
        </w:rPr>
        <w:t xml:space="preserve">7.30.1 </w:t>
      </w:r>
      <w:r>
        <w:rPr>
          <w:rStyle w:val="CharStyle6"/>
        </w:rPr>
        <w:t xml:space="preserve">(часть </w:t>
      </w:r>
      <w:r>
        <w:rPr>
          <w:rStyle w:val="CharStyle6"/>
          <w:lang w:val="en-US" w:eastAsia="en-US"/>
        </w:rPr>
        <w:t xml:space="preserve">5) </w:t>
      </w:r>
      <w:r>
        <w:rPr>
          <w:rStyle w:val="CharStyle6"/>
        </w:rPr>
        <w:t>Кодекса Российской Федерации об административных правонарушениях.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rStyle w:val="CharStyle6"/>
        </w:rPr>
        <w:t xml:space="preserve">На основании изложенного и руководствуясь частью </w:t>
      </w:r>
      <w:r>
        <w:rPr>
          <w:rStyle w:val="CharStyle6"/>
          <w:lang w:val="en-US" w:eastAsia="en-US"/>
        </w:rPr>
        <w:t xml:space="preserve">8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106 </w:t>
      </w:r>
      <w:r>
        <w:rPr>
          <w:rStyle w:val="CharStyle6"/>
        </w:rPr>
        <w:t>Закона о контрактной системе, Комиссия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0" w:name="bookmark10"/>
      <w:r>
        <w:rPr>
          <w:rStyle w:val="CharStyle20"/>
          <w:b/>
          <w:bCs/>
        </w:rPr>
        <w:t>РЕШИЛА:</w:t>
      </w:r>
      <w:bookmarkEnd w:id="10"/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77" w:val="left"/>
        </w:tabs>
        <w:bidi w:val="0"/>
        <w:spacing w:before="0" w:after="80" w:line="240" w:lineRule="auto"/>
        <w:ind w:left="0" w:right="0" w:firstLine="880"/>
        <w:jc w:val="both"/>
      </w:pPr>
      <w:r>
        <w:rPr>
          <w:rStyle w:val="CharStyle6"/>
        </w:rPr>
        <w:t>Признать жалобу обоснованной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46" w:val="left"/>
        </w:tabs>
        <w:bidi w:val="0"/>
        <w:spacing w:before="0" w:after="80" w:line="240" w:lineRule="auto"/>
        <w:ind w:left="0" w:right="0" w:firstLine="880"/>
        <w:jc w:val="both"/>
      </w:pPr>
      <w:r>
        <w:rPr>
          <w:rStyle w:val="CharStyle6"/>
        </w:rPr>
        <w:t xml:space="preserve">Признать в действиях Заказчика нарушение части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33 </w:t>
      </w:r>
      <w:r>
        <w:rPr>
          <w:rStyle w:val="CharStyle6"/>
        </w:rPr>
        <w:t>Закона о контрактной системе.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77" w:val="left"/>
        </w:tabs>
        <w:bidi w:val="0"/>
        <w:spacing w:before="0" w:after="80" w:line="240" w:lineRule="auto"/>
        <w:ind w:left="0" w:right="0" w:firstLine="880"/>
        <w:jc w:val="both"/>
      </w:pPr>
      <w:r>
        <w:rPr>
          <w:rStyle w:val="CharStyle6"/>
        </w:rPr>
        <w:t>Выдать предписание об устранении выявленных нарушений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85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6"/>
        </w:rPr>
        <w:t>Передать материалы дела о выявленных нарушениях должностному лицу уполномоченному рассматривать дела об административных правонарушениях, для рассмотрения вопроса о возбуждении дела об административном правонарушении в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5" w:right="535" w:bottom="1206" w:left="1097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>должностного лица Заказчика</w:t>
      </w:r>
    </w:p>
    <w:p>
      <w:pPr>
        <w:pStyle w:val="Style5"/>
        <w:keepNext w:val="0"/>
        <w:keepLines w:val="0"/>
        <w:framePr w:w="2880" w:h="1190" w:wrap="none" w:vAnchor="text" w:hAnchor="page" w:x="1161" w:y="342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6"/>
          <w:sz w:val="28"/>
          <w:szCs w:val="28"/>
        </w:rPr>
        <w:t>Председатель комиссии</w:t>
      </w:r>
    </w:p>
    <w:p>
      <w:pPr>
        <w:pStyle w:val="Style5"/>
        <w:keepNext w:val="0"/>
        <w:keepLines w:val="0"/>
        <w:framePr w:w="2880" w:h="1190" w:wrap="none" w:vAnchor="text" w:hAnchor="page" w:x="1161" w:y="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6"/>
          <w:sz w:val="28"/>
          <w:szCs w:val="28"/>
        </w:rPr>
        <w:t>Члены комиссии:</w:t>
      </w:r>
    </w:p>
    <w:p>
      <w:pPr>
        <w:pStyle w:val="Style5"/>
        <w:keepNext w:val="0"/>
        <w:keepLines w:val="0"/>
        <w:framePr w:w="1848" w:h="2054" w:wrap="none" w:vAnchor="text" w:hAnchor="page" w:x="9474" w:y="342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right"/>
        <w:rPr>
          <w:sz w:val="28"/>
          <w:szCs w:val="28"/>
        </w:rPr>
      </w:pPr>
      <w:r>
        <w:rPr>
          <w:rStyle w:val="CharStyle6"/>
          <w:sz w:val="28"/>
          <w:szCs w:val="28"/>
        </w:rPr>
        <w:t>Е.В. Фисенко</w:t>
      </w:r>
    </w:p>
    <w:p>
      <w:pPr>
        <w:pStyle w:val="Style5"/>
        <w:keepNext w:val="0"/>
        <w:keepLines w:val="0"/>
        <w:framePr w:w="1848" w:h="2054" w:wrap="none" w:vAnchor="text" w:hAnchor="page" w:x="9474" w:y="34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  <w:rPr>
          <w:sz w:val="28"/>
          <w:szCs w:val="28"/>
        </w:rPr>
      </w:pPr>
      <w:r>
        <w:rPr>
          <w:rStyle w:val="CharStyle6"/>
          <w:sz w:val="28"/>
          <w:szCs w:val="28"/>
        </w:rPr>
        <w:t>Л.Б. Шиханова</w:t>
      </w:r>
    </w:p>
    <w:p>
      <w:pPr>
        <w:pStyle w:val="Style5"/>
        <w:keepNext w:val="0"/>
        <w:keepLines w:val="0"/>
        <w:framePr w:w="1848" w:h="2054" w:wrap="none" w:vAnchor="text" w:hAnchor="page" w:x="9474" w:y="342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right"/>
        <w:rPr>
          <w:sz w:val="28"/>
          <w:szCs w:val="28"/>
        </w:rPr>
      </w:pPr>
      <w:r>
        <w:rPr>
          <w:rStyle w:val="CharStyle6"/>
          <w:sz w:val="28"/>
          <w:szCs w:val="28"/>
        </w:rPr>
        <w:t>С.А. Ковалева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2931160</wp:posOffset>
            </wp:positionH>
            <wp:positionV relativeFrom="paragraph">
              <wp:posOffset>12700</wp:posOffset>
            </wp:positionV>
            <wp:extent cx="1791970" cy="74993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791970" cy="7499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3043555</wp:posOffset>
            </wp:positionH>
            <wp:positionV relativeFrom="paragraph">
              <wp:posOffset>783590</wp:posOffset>
            </wp:positionV>
            <wp:extent cx="1249680" cy="52451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4968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3055620</wp:posOffset>
            </wp:positionH>
            <wp:positionV relativeFrom="paragraph">
              <wp:posOffset>1347470</wp:posOffset>
            </wp:positionV>
            <wp:extent cx="1237615" cy="51181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37615" cy="5118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97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sz w:val="24"/>
          <w:szCs w:val="24"/>
          <w:lang w:val="en-US" w:eastAsia="en-US"/>
        </w:rPr>
        <w:t>2026-1580</w:t>
      </w:r>
    </w:p>
    <w:sectPr>
      <w:footerReference w:type="default" r:id="rId13"/>
      <w:footnotePr>
        <w:pos w:val="pageBottom"/>
        <w:numFmt w:val="decimal"/>
        <w:numRestart w:val="continuous"/>
      </w:footnotePr>
      <w:pgSz w:w="11900" w:h="16840"/>
      <w:pgMar w:top="15682" w:right="9702" w:bottom="616" w:left="1113" w:header="15254" w:footer="188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9991090</wp:posOffset>
              </wp:positionV>
              <wp:extent cx="658495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2026-1580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6.70000000000005pt;width:51.8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2026-1580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9991090</wp:posOffset>
              </wp:positionV>
              <wp:extent cx="65849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2026-1580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86.70000000000005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2026-1580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9">
    <w:name w:val="Body text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12">
    <w:name w:val="Body text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5">
    <w:name w:val="Heading #2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20">
    <w:name w:val="Heading #3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5">
    <w:name w:val="Body text"/>
    <w:basedOn w:val="Normal"/>
    <w:link w:val="CharStyle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8">
    <w:name w:val="Body text (2)"/>
    <w:basedOn w:val="Normal"/>
    <w:link w:val="CharStyle9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11">
    <w:name w:val="Body text (3)"/>
    <w:basedOn w:val="Normal"/>
    <w:link w:val="CharStyle12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4">
    <w:name w:val="Heading #2"/>
    <w:basedOn w:val="Normal"/>
    <w:link w:val="CharStyle15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9">
    <w:name w:val="Heading #3"/>
    <w:basedOn w:val="Normal"/>
    <w:link w:val="CharStyle20"/>
    <w:pPr>
      <w:widowControl w:val="0"/>
      <w:shd w:val="clear" w:color="auto" w:fill="auto"/>
      <w:spacing w:after="41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footer" Target="footer3.xml"/></Relationships>
</file>