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20788/26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20788/26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ФГБУ «НИИ Пульмонологии» ФМБА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"mailto:niipulmo@yandex.ru" </w:instrText>
      </w:r>
      <w:r>
        <w:fldChar w:fldCharType="separate"/>
      </w:r>
      <w:r>
        <w:rPr>
          <w:rStyle w:val="CharStyle7"/>
          <w:lang w:val="en-US" w:eastAsia="en-US"/>
        </w:rPr>
        <w:t>niipulmo@yandex.ru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ООО «МАТРИЦА»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720" w:line="240" w:lineRule="auto"/>
        <w:ind w:left="1140" w:right="0" w:firstLine="0"/>
        <w:jc w:val="both"/>
      </w:pPr>
      <w:r>
        <w:fldChar w:fldCharType="begin"/>
      </w:r>
      <w:r>
        <w:rPr/>
        <w:instrText> HYPERLINK "mailto:arps16@mail.ru" </w:instrText>
      </w:r>
      <w:r>
        <w:fldChar w:fldCharType="separate"/>
      </w:r>
      <w:r>
        <w:rPr>
          <w:rStyle w:val="CharStyle7"/>
          <w:lang w:val="en-US" w:eastAsia="en-US"/>
        </w:rPr>
        <w:t>arps16@mail.ru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077/06/105-6120/2026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Ведущего специалиста-эксперта отдела обжалования государственных закупок </w:t>
      </w:r>
      <w:r>
        <w:rPr>
          <w:rStyle w:val="CharStyle7"/>
          <w:lang w:val="en-US" w:eastAsia="en-US"/>
        </w:rPr>
        <w:t xml:space="preserve">A.A. </w:t>
      </w:r>
      <w:r>
        <w:rPr>
          <w:rStyle w:val="CharStyle7"/>
        </w:rPr>
        <w:t>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«НИИ Пульмонологии» ФМБА России: О.В. Шиловой (дов. </w:t>
      </w:r>
      <w:r>
        <w:rPr>
          <w:rStyle w:val="CharStyle7"/>
          <w:lang w:val="en-US" w:eastAsia="en-US"/>
        </w:rPr>
        <w:t xml:space="preserve">№43-2026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29.01.2026),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«МАТРИЦА»: Я.Т. Фатхиевой (по дов. </w:t>
      </w:r>
      <w:r>
        <w:rPr>
          <w:rStyle w:val="CharStyle7"/>
          <w:lang w:val="en-US" w:eastAsia="en-US"/>
        </w:rPr>
        <w:t xml:space="preserve">№13/05-1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13.05.2026),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третьего лица: Д.В. Черных (генеральный директор),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«МАТРИЦА»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ФГБУ «НИИ Пульмонологии» ФМБА России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оргтехники для нужд ФГБУ «НИИ пульмонологии» ФМБА России (НКМИ </w:t>
      </w:r>
      <w:r>
        <w:rPr>
          <w:rStyle w:val="CharStyle7"/>
          <w:lang w:val="en-US" w:eastAsia="en-US"/>
        </w:rPr>
        <w:t xml:space="preserve">190850)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0373100108026000146)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rStyle w:val="CharStyle7"/>
          <w:lang w:val="en-US" w:eastAsia="en-US"/>
        </w:rPr>
        <w:t>IIIIIIIIIIIIIIIIIIIIIIIIIIII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32" w:bottom="294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  <w:sz w:val="24"/>
          <w:szCs w:val="24"/>
          <w:lang w:val="en-US" w:eastAsia="en-US"/>
        </w:rPr>
        <w:t>2026-23906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ОКПД2)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«Части и принадлежности прочих офисных машин».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мнению Заявителя, отраженного в составе жалобы, наиболее соответствующим коду ОКПД2 закупаемым товарам является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в обоснование своей позиции Заявитель указывает, что «емкости с тонером и тонерные отсеки для лазерных и светодиодных принтеров и многофункциональных печатающих устройств», а также «картриджи однокомпонентные (в одном корпусе совмещен блок фотобарабана и тонерный отсек)» применяются в лазерных и светодиодных принтерах и МФУ, в связи с чем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 соответствует не только картриджам для струйных, каплеструйных и сублимационных принтеров и МФУ.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необходимо отметить, что детализирующее описание кода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 xml:space="preserve">«Элементы замены типовые устройств ввода и вывода» не является исчерпывающим, что следует из применения в описании слов «в том числе». Таким образом,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охватывает лазерные картриджи (как в виде тонерных емкостей, так и в виде отдельного фотобарабана), что соответствует предмету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Указание в классификаторе также на картриджи для других типов печати (струйные, сублимационные) не исключает принадлежности к данному коду лазерных картриджей, а лишь подтверждает его комплексный, детализированный характер, что является преимуществом для точного описания предмета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115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основании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</w:t>
      </w:r>
      <w:r>
        <w:rPr>
          <w:rStyle w:val="CharStyle7"/>
          <w:sz w:val="24"/>
          <w:szCs w:val="24"/>
          <w:lang w:val="en-US" w:eastAsia="en-US"/>
        </w:rPr>
        <w:t>2026-23906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пп. «д»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>2008)».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согласно описанию объекта закупки Заказчиком закупаются расходные материалы, например: «Тонер-картридж </w:t>
      </w:r>
      <w:r>
        <w:rPr>
          <w:rStyle w:val="CharStyle7"/>
          <w:lang w:val="en-US" w:eastAsia="en-US"/>
        </w:rPr>
        <w:t xml:space="preserve">HP CF230X </w:t>
      </w:r>
      <w:r>
        <w:rPr>
          <w:rStyle w:val="CharStyle7"/>
        </w:rPr>
        <w:t xml:space="preserve">(или эквивалент)», выбран код ОКПД2 </w:t>
      </w:r>
      <w:r>
        <w:rPr>
          <w:rStyle w:val="CharStyle7"/>
          <w:lang w:val="en-US" w:eastAsia="en-US"/>
        </w:rPr>
        <w:t xml:space="preserve">28.23.25.000, </w:t>
      </w:r>
      <w:r>
        <w:rPr>
          <w:rStyle w:val="CharStyle7"/>
        </w:rPr>
        <w:t xml:space="preserve">при этом в отношении закупаемых товаров Заказчиком установлено преимущество закупок товаров происходящих из иностранных государств, предусмотренных Постановлением </w:t>
      </w:r>
      <w:r>
        <w:rPr>
          <w:rStyle w:val="CharStyle7"/>
          <w:lang w:val="en-US" w:eastAsia="en-US"/>
        </w:rPr>
        <w:t>№1875</w:t>
      </w:r>
      <w:r>
        <w:rPr>
          <w:rStyle w:val="CharStyle7"/>
          <w:color w:val="C9211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код ОКПД2 выбран Заказчиком в полном соответствии с решением и предписанием Московского УФАС России. Ранее Заказчиком была проведена закупка с кодом ОКПД2 </w:t>
      </w:r>
      <w:r>
        <w:rPr>
          <w:rStyle w:val="CharStyle7"/>
          <w:lang w:val="en-US" w:eastAsia="en-US"/>
        </w:rPr>
        <w:t xml:space="preserve">26.20.40.120. </w:t>
      </w:r>
      <w:r>
        <w:rPr>
          <w:rStyle w:val="CharStyle7"/>
        </w:rPr>
        <w:t xml:space="preserve">По жалобе ООО «Велес» решением Московского УФАС от </w:t>
      </w:r>
      <w:r>
        <w:rPr>
          <w:rStyle w:val="CharStyle7"/>
          <w:lang w:val="en-US" w:eastAsia="en-US"/>
        </w:rPr>
        <w:t xml:space="preserve">14.04.2026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077/06/105-4504/2026 </w:t>
      </w:r>
      <w:r>
        <w:rPr>
          <w:rStyle w:val="CharStyle7"/>
        </w:rPr>
        <w:t>установлено, что: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код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соответствует картриджам для струйных, каплеструйных и сублимационных МФУ;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код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соответствует картриджам для МФУ с лазерной технологией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Заказчику выдано предписание, которое исполнено путем отмены предыдущей закупки и публикации новой закупки </w:t>
      </w:r>
      <w:r>
        <w:rPr>
          <w:rStyle w:val="CharStyle7"/>
          <w:lang w:val="en-US" w:eastAsia="en-US"/>
        </w:rPr>
        <w:t xml:space="preserve">№ 0373200017526000204 </w:t>
      </w:r>
      <w:r>
        <w:rPr>
          <w:rStyle w:val="CharStyle7"/>
        </w:rPr>
        <w:t xml:space="preserve">с кодом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в соответствии с выводами контрольного органа.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принятия решения Комиссии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 При этом заказчик самостоятельно определяет код ОКПД2 как наиболее подходящий объекту закупки, исходя из собственных потребностей и особенностей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Комиссией Управления установлено, что Заказчиком приобретаются картриджи, в том числе картриджи для печатающих устройств с лазерной технологией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принятии решения Комиссия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Вместе с тем Комиссия Управления отмечает, что в классификаторе ОКПД2 присутствует следующее детализирующее пояснение кода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«Эта группировка в том числе включает: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4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Таким образом,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устройств ввода и вывода», соответствует картриджам для струйных, каплеструйных и сублимационных многофункциональных печатающих устройств, что не соответствует картриджам с лазерной технологией печати, для которых наиболее соответствующим кодом является код ОКПД2 </w:t>
      </w:r>
      <w:r>
        <w:rPr>
          <w:rStyle w:val="CharStyle7"/>
          <w:lang w:val="en-US" w:eastAsia="en-US"/>
        </w:rPr>
        <w:t xml:space="preserve">28.23.25.000, </w:t>
      </w:r>
      <w:r>
        <w:rPr>
          <w:rStyle w:val="CharStyle7"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.Признать жалобу ООО «МАТРИЦА» на действия Управы района Марфино г. Москвы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9" w:val="left"/>
        </w:tabs>
        <w:bidi w:val="0"/>
        <w:spacing w:before="0" w:after="280" w:line="240" w:lineRule="auto"/>
        <w:ind w:left="0" w:right="0" w:firstLine="66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АПК РФ,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229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5pt;margin-top:10.pt;width:145.20000000000002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3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285115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15000000000003pt;margin-top:22.449999999999999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10.pt;width:102.7pt;height:19.699999999999999pt;z-index:-125829369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565656"/>
        </w:rPr>
        <w:t xml:space="preserve">выдан: </w:t>
      </w:r>
      <w:r>
        <w:rPr>
          <w:rStyle w:val="CharStyle25"/>
          <w:color w:val="000000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00EA3D636CED58A70F15417FA130B2F6C</w:t>
      </w:r>
      <w:r>
        <w:rPr>
          <w:rStyle w:val="CharStyle25"/>
          <w:lang w:val="en-US" w:eastAsia="en-US"/>
        </w:rPr>
        <w:t>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5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5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Леонова Алена Альбертовна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276EF4D805B62E966E204BCBEB72461C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5"/>
        </w:rPr>
        <w:t xml:space="preserve">Действителен с 05.12.2025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15000000000003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 xml:space="preserve">ПЕРЕВЕРЗЕВА ЕЛИЗАВЕТА СЕРГЕЕВНА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00FFF3ACD3A01A73F4C680C3941</w:t>
      </w:r>
      <w:r>
        <w:rPr>
          <w:rStyle w:val="CharStyle25"/>
        </w:rPr>
        <w:t>ЕЗСА02</w:t>
      </w:r>
      <w:r>
        <w:rPr>
          <w:rStyle w:val="CharStyle25"/>
        </w:rPr>
        <w:t>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20" w:line="266" w:lineRule="auto"/>
        <w:ind w:right="0" w:firstLine="0"/>
        <w:jc w:val="left"/>
      </w:pPr>
      <w:r>
        <w:rPr>
          <w:rStyle w:val="CharStyle25"/>
        </w:rPr>
        <w:t xml:space="preserve">Действителен с 11.12.2025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06.03.2027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1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2026-23906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2026-23906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2026-23906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00000000000004pt;margin-top:794.70000000000005pt;width:57.10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2026-23906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3918585</wp:posOffset>
              </wp:positionH>
              <wp:positionV relativeFrom="page">
                <wp:posOffset>476250</wp:posOffset>
              </wp:positionV>
              <wp:extent cx="7620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55000000000001pt;margin-top:37.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40.100000000000001pt;width:5.75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3918585</wp:posOffset>
              </wp:positionH>
              <wp:positionV relativeFrom="page">
                <wp:posOffset>476250</wp:posOffset>
              </wp:positionV>
              <wp:extent cx="7620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55000000000001pt;margin-top:37.5pt;width:6.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