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6159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04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541" w:bottom="1221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714375</wp:posOffset>
                </wp:positionH>
                <wp:positionV relativeFrom="paragraph">
                  <wp:posOffset>12700</wp:posOffset>
                </wp:positionV>
                <wp:extent cx="2587625" cy="274637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7625" cy="27463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Камчатскому краю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пр-т Карла Маркса, д. 29/2,</w:t>
                              <w:br/>
                              <w:t>Петропавловск-Камчатский, 683031</w:t>
                              <w:br/>
                              <w:t>тел. / факс (499) 755-23-23 доб. 041-100</w:t>
                              <w:br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"mailto:to41@fas.gov.ru"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>to41@fas.gov.ru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9"/>
                                <w:sz w:val="20"/>
                                <w:szCs w:val="20"/>
                              </w:rPr>
                              <w:tab/>
                              <w:t xml:space="preserve"> № </w:t>
                              <w:tab/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2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9"/>
                                <w:sz w:val="20"/>
                                <w:szCs w:val="20"/>
                              </w:rPr>
                              <w:t xml:space="preserve">На №  от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9"/>
                                <w:color w:val="000000"/>
                                <w:sz w:val="20"/>
                                <w:szCs w:val="20"/>
                              </w:rPr>
                              <w:t>Об устранении нарушений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9"/>
                                <w:color w:val="000000"/>
                                <w:sz w:val="20"/>
                                <w:szCs w:val="20"/>
                              </w:rPr>
                              <w:t>Закона о контрактной системе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6.25pt;margin-top:1.pt;width:203.75pt;height:216.2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9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Камчатскому краю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пр-т Карла Маркса, д. 29/2,</w:t>
                        <w:br/>
                        <w:t>Петропавловск-Камчатский, 683031</w:t>
                        <w:br/>
                        <w:t>тел. / факс (499) 755-23-23 доб. 041-100</w:t>
                        <w:br/>
                      </w:r>
                      <w:r>
                        <w:rPr>
                          <w:rStyle w:val="CharStyle6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"mailto:to41@fas.gov.ru"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lang w:val="en-US" w:eastAsia="en-US"/>
                        </w:rPr>
                        <w:t>to41@fas.gov.ru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9"/>
                          <w:sz w:val="20"/>
                          <w:szCs w:val="20"/>
                        </w:rPr>
                        <w:tab/>
                        <w:t xml:space="preserve"> № </w:t>
                        <w:tab/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2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9"/>
                          <w:sz w:val="20"/>
                          <w:szCs w:val="20"/>
                        </w:rPr>
                        <w:t xml:space="preserve">На №  от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9"/>
                          <w:color w:val="000000"/>
                          <w:sz w:val="20"/>
                          <w:szCs w:val="20"/>
                        </w:rPr>
                        <w:t>Об устранении нарушений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9"/>
                          <w:color w:val="000000"/>
                          <w:sz w:val="20"/>
                          <w:szCs w:val="20"/>
                        </w:rPr>
                        <w:t>Закона о контрактной системе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both"/>
      </w:pPr>
      <w:r>
        <w:rPr>
          <w:rStyle w:val="CharStyle13"/>
          <w:u w:val="single"/>
        </w:rPr>
        <w:t>Заявитель: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040" w:right="0" w:firstLine="0"/>
        <w:jc w:val="both"/>
      </w:pPr>
      <w:r>
        <w:rPr>
          <w:rStyle w:val="CharStyle13"/>
        </w:rPr>
        <w:t>ООО «Медикал-Про»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both"/>
      </w:pPr>
      <w:r>
        <w:rPr>
          <w:rStyle w:val="CharStyle13"/>
          <w:u w:val="single"/>
        </w:rPr>
        <w:t>Заказчик: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040" w:right="0" w:firstLine="0"/>
        <w:jc w:val="both"/>
      </w:pPr>
      <w:r>
        <w:rPr>
          <w:rStyle w:val="CharStyle13"/>
        </w:rPr>
        <w:t>ГБУЗ «Камчатская краевая детская больница»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both"/>
      </w:pPr>
      <w:r>
        <w:rPr>
          <w:rStyle w:val="CharStyle13"/>
          <w:u w:val="single"/>
        </w:rPr>
        <w:t>Оператор торговой площадки</w:t>
      </w:r>
      <w:r>
        <w:rPr>
          <w:rStyle w:val="CharStyle13"/>
        </w:rPr>
        <w:t>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660" w:line="240" w:lineRule="auto"/>
        <w:ind w:left="1040" w:right="0" w:firstLine="0"/>
        <w:jc w:val="both"/>
      </w:pPr>
      <w:r>
        <w:rPr>
          <w:rStyle w:val="CharStyle13"/>
        </w:rPr>
        <w:t xml:space="preserve">АО 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3"/>
          <w:lang w:val="en-US" w:eastAsia="en-US"/>
        </w:rPr>
        <w:t>ko@roseltorg.ru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3"/>
          <w:b/>
          <w:bCs/>
        </w:rPr>
        <w:t>ПРЕДПИСАНИЕ</w:t>
        <w:br/>
        <w:t>по делу № 041/06/105-333/2026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60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1089660</wp:posOffset>
                </wp:positionH>
                <wp:positionV relativeFrom="paragraph">
                  <wp:posOffset>12700</wp:posOffset>
                </wp:positionV>
                <wp:extent cx="978535" cy="23495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853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18 мая 2026 г.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5.799999999999997pt;margin-top:1.pt;width:77.049999999999997pt;height:18.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18 мая 2026 г.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г. Петропавловск-Камчатский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Комиссия Управления Федеральной антимонопольной службы по Камчатскому краю (далее – Камчатское УФАС России) по контролю в сфере закупок и рассмотрению жалоб в порядке, предусмотренном статьей 18.1 Федерального закона от 26.07.2006 № 135-ФЗ «О защите конкуренции» (далее – Комиссия)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председателя Комиссии – руководителя Камчатского УФАС России Фисенко Е.В., членов Комиссии: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начальника отдела контроля закупок Шихановой Л.Б.,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главного специалиста-эксперта отдела контроля закупок Ковалевой С.А.,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</w:pPr>
      <w:r>
        <w:rPr>
          <w:rStyle w:val="CharStyle13"/>
        </w:rPr>
        <w:t>на основании решения по делу № 041/06/105-333/2026 от 18.05.2026, принятого Комиссией по результатам рассмотрения жалобы Заявителя на действия Заказчика при определении исполнителя путем электронного аукциона на поставку медицинских изделий (цистоуретероскоп гибкий) ввод в эксплуатацию медицинских изделий, обучение правилам эксплуатации специалистов, эксплуатирующих медицинские изделия (закупка № 0338200008626000217), (далее – Закупка), руководствуясь пунктом 2 части 22 и частью 23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13"/>
        </w:rPr>
        <w:t>ПРЕДПИСЫВАЕТ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center"/>
      </w:pPr>
      <w:r>
        <w:rPr>
          <w:rStyle w:val="CharStyle13"/>
        </w:rPr>
        <w:t>Заказчику: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8"/>
        </w:rPr>
        <w:t xml:space="preserve">1IIIIIIIIIIIIIII Illi </w:t>
      </w:r>
      <w:r>
        <w:rPr>
          <w:rStyle w:val="CharStyle18"/>
          <w:lang w:val="ru-RU" w:eastAsia="ru-RU"/>
        </w:rPr>
        <w:t>1111</w:t>
      </w:r>
      <w:bookmarkEnd w:id="0"/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срок до </w:t>
      </w:r>
      <w:r>
        <w:rPr>
          <w:rStyle w:val="CharStyle13"/>
          <w:lang w:val="en-US" w:eastAsia="en-US"/>
        </w:rPr>
        <w:t xml:space="preserve">10.06.2026 </w:t>
      </w:r>
      <w:r>
        <w:rPr>
          <w:rStyle w:val="CharStyle13"/>
        </w:rPr>
        <w:t xml:space="preserve">устранить нарушение 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отменить процедуру заключения контракта;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7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13"/>
        </w:rPr>
        <w:t>аннулировать определение поставщика по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60" w:line="223" w:lineRule="auto"/>
        <w:ind w:left="0" w:right="0" w:firstLine="720"/>
        <w:jc w:val="both"/>
      </w:pPr>
      <w:r>
        <w:rPr>
          <w:rStyle w:val="CharStyle13"/>
        </w:rPr>
        <w:t xml:space="preserve">В срок до </w:t>
      </w:r>
      <w:r>
        <w:rPr>
          <w:rStyle w:val="CharStyle13"/>
          <w:lang w:val="en-US" w:eastAsia="en-US"/>
        </w:rPr>
        <w:t xml:space="preserve">15.06.2026 </w:t>
      </w:r>
      <w:r>
        <w:rPr>
          <w:rStyle w:val="CharStyle13"/>
        </w:rPr>
        <w:t>представить в Камчатское УФАС России доказательства исполнения настоящего предписания в письменном виде.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720"/>
        <w:jc w:val="left"/>
      </w:pPr>
      <w:r>
        <w:rPr>
          <w:rStyle w:val="CharStyle13"/>
        </w:rPr>
        <w:t>Предписание может быть обжаловано в течение трех месяцев со дня его выдачи.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21" w:lineRule="auto"/>
        <w:ind w:left="0" w:right="0" w:firstLine="720"/>
        <w:jc w:val="both"/>
      </w:pPr>
      <w:r>
        <w:rPr>
          <w:rStyle w:val="CharStyle13"/>
        </w:rPr>
        <w:t>Примечание: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71" w:val="left"/>
        </w:tabs>
        <w:bidi w:val="0"/>
        <w:spacing w:before="0" w:after="0" w:line="221" w:lineRule="auto"/>
        <w:ind w:left="0" w:right="0" w:firstLine="720"/>
        <w:jc w:val="both"/>
      </w:pPr>
      <w:r>
        <w:rPr>
          <w:rStyle w:val="CharStyle13"/>
        </w:rPr>
        <w:t>Предписание подлежит исполнению в установленный данным предписанием срок.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71" w:val="left"/>
        </w:tabs>
        <w:bidi w:val="0"/>
        <w:spacing w:before="0" w:after="960" w:line="221" w:lineRule="auto"/>
        <w:ind w:left="0" w:right="0" w:firstLine="720"/>
        <w:jc w:val="both"/>
      </w:pPr>
      <w:r>
        <w:rPr>
          <w:rStyle w:val="CharStyle13"/>
        </w:rPr>
        <w:t>Неисполнение в срок предписания влечет за собой последствия, предусмотренные законодательством Российской Федерации. Под неисполнением в срок предписания понимается уклонение от исполнения или частичное исполнение предписания, либо несвоевременное исполнение предписания.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0" w:firstLine="0"/>
        <w:jc w:val="right"/>
        <w:rPr>
          <w:sz w:val="28"/>
          <w:szCs w:val="28"/>
        </w:rPr>
      </w:pPr>
      <w:r>
        <mc:AlternateContent>
          <mc:Choice Requires="wps">
            <w:drawing>
              <wp:anchor distT="0" distB="805180" distL="114300" distR="2308860" simplePos="0" relativeHeight="125829382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12700</wp:posOffset>
                </wp:positionV>
                <wp:extent cx="1825625" cy="75565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755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4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3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3"/>
                                <w:sz w:val="28"/>
                                <w:szCs w:val="28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899999999999999pt;margin-top:1.pt;width:143.75pt;height:59.5pt;z-index:-125829371;mso-wrap-distance-left:9.pt;mso-wrap-distance-right:181.80000000000001pt;mso-wrap-distance-bottom:63.399999999999999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4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3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3"/>
                          <w:sz w:val="28"/>
                          <w:szCs w:val="28"/>
                        </w:rPr>
                        <w:t>Члены комиссии: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819785" distB="635" distL="2357755" distR="114300" simplePos="0" relativeHeight="125829384" behindDoc="0" locked="0" layoutInCell="1" allowOverlap="1">
            <wp:simplePos x="0" y="0"/>
            <wp:positionH relativeFrom="page">
              <wp:posOffset>2978785</wp:posOffset>
            </wp:positionH>
            <wp:positionV relativeFrom="paragraph">
              <wp:posOffset>832485</wp:posOffset>
            </wp:positionV>
            <wp:extent cx="1779905" cy="743585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779905" cy="74358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13"/>
          <w:sz w:val="28"/>
          <w:szCs w:val="28"/>
        </w:rPr>
        <w:t>Е.В. Фисенко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  <w:rPr>
          <w:sz w:val="28"/>
          <w:szCs w:val="28"/>
        </w:rPr>
      </w:pPr>
      <w:r>
        <w:rPr>
          <w:rStyle w:val="CharStyle13"/>
          <w:sz w:val="28"/>
          <w:szCs w:val="28"/>
        </w:rPr>
        <w:t>Л.Б. Шиханова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8"/>
          <w:szCs w:val="28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0" w:bottom="1232" w:left="1098" w:header="0" w:footer="3" w:gutter="0"/>
          <w:cols w:space="720"/>
          <w:noEndnote/>
          <w:rtlGutter w:val="0"/>
          <w:docGrid w:linePitch="360"/>
        </w:sectPr>
      </w:pPr>
      <w:r>
        <w:rPr>
          <w:rStyle w:val="CharStyle13"/>
          <w:sz w:val="28"/>
          <w:szCs w:val="28"/>
        </w:rPr>
        <w:t>С.А. Ковалева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3009265</wp:posOffset>
            </wp:positionH>
            <wp:positionV relativeFrom="paragraph">
              <wp:posOffset>12700</wp:posOffset>
            </wp:positionV>
            <wp:extent cx="1749425" cy="73152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749425" cy="7315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431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1" w:bottom="972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10013315</wp:posOffset>
              </wp:positionV>
              <wp:extent cx="652145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2026-1619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399999999999999pt;margin-top:788.45000000000005pt;width:51.350000000000001pt;height:9.8499999999999996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2026-1619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9854565</wp:posOffset>
              </wp:positionV>
              <wp:extent cx="652145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2026-1619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450000000000003pt;margin-top:775.95000000000005pt;width:51.350000000000001pt;height:9.8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2026-1619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6"/>
      <w:sz w:val="16"/>
      <w:szCs w:val="16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6"/>
      <w:sz w:val="19"/>
      <w:szCs w:val="19"/>
      <w:u w:val="non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Heading #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20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6"/>
      <w:sz w:val="16"/>
      <w:szCs w:val="16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21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6"/>
      <w:sz w:val="19"/>
      <w:szCs w:val="19"/>
      <w:u w:val="non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Heading #1"/>
    <w:basedOn w:val="Normal"/>
    <w:link w:val="CharStyle18"/>
    <w:pPr>
      <w:widowControl w:val="0"/>
      <w:shd w:val="clear" w:color="auto" w:fill="auto"/>
      <w:spacing w:after="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png"/><Relationship Id="rId12" Type="http://schemas.openxmlformats.org/officeDocument/2006/relationships/image" Target="media/image3.png" TargetMode="External"/></Relationships>
</file>