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819785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21346/26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49999999999997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21346/26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4307840" simplePos="0" relativeHeight="125829381" behindDoc="0" locked="0" layoutInCell="1" allowOverlap="1">
                <wp:simplePos x="0" y="0"/>
                <wp:positionH relativeFrom="page">
                  <wp:posOffset>1151890</wp:posOffset>
                </wp:positionH>
                <wp:positionV relativeFrom="paragraph">
                  <wp:posOffset>5388610</wp:posOffset>
                </wp:positionV>
                <wp:extent cx="186563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56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Председательствующего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0.700000000000003pt;margin-top:424.30000000000001pt;width:146.90000000000001pt;height:19.449999999999999pt;z-index:-125829372;mso-wrap-distance-left:9.pt;mso-wrap-distance-right:339.1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Председательствующего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104390" distR="3963670" simplePos="0" relativeHeight="125829383" behindDoc="0" locked="0" layoutInCell="1" allowOverlap="1">
                <wp:simplePos x="0" y="0"/>
                <wp:positionH relativeFrom="page">
                  <wp:posOffset>3141980</wp:posOffset>
                </wp:positionH>
                <wp:positionV relativeFrom="paragraph">
                  <wp:posOffset>5388610</wp:posOffset>
                </wp:positionV>
                <wp:extent cx="21971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3"/>
                                <w:color w:val="000000"/>
                                <w:sz w:val="20"/>
                                <w:szCs w:val="20"/>
                                <w:vertAlign w:val="subscript"/>
                                <w:lang w:val="en-US" w:eastAsia="en-US"/>
                              </w:rPr>
                              <w:t>—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7.40000000000001pt;margin-top:424.30000000000001pt;width:17.300000000000001pt;height:19.449999999999999pt;z-index:-125829370;mso-wrap-distance-left:165.70000000000002pt;mso-wrap-distance-right:312.1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3"/>
                          <w:color w:val="000000"/>
                          <w:sz w:val="20"/>
                          <w:szCs w:val="20"/>
                          <w:vertAlign w:val="subscript"/>
                          <w:lang w:val="en-US" w:eastAsia="en-US"/>
                        </w:rPr>
                        <w:t>—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446020" distR="114300" simplePos="0" relativeHeight="125829385" behindDoc="0" locked="0" layoutInCell="1" allowOverlap="1">
                <wp:simplePos x="0" y="0"/>
                <wp:positionH relativeFrom="page">
                  <wp:posOffset>3483610</wp:posOffset>
                </wp:positionH>
                <wp:positionV relativeFrom="paragraph">
                  <wp:posOffset>5388610</wp:posOffset>
                </wp:positionV>
                <wp:extent cx="372745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7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заместителя начальника отдела обжалования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74.30000000000001pt;margin-top:424.30000000000001pt;width:293.5pt;height:19.449999999999999pt;z-index:-125829368;mso-wrap-distance-left:192.5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заместителя начальника отдела обжалования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1020" w:right="0" w:firstLine="0"/>
        <w:jc w:val="left"/>
      </w:pPr>
      <w:r>
        <w:rPr>
          <w:rStyle w:val="CharStyle7"/>
        </w:rPr>
        <w:t xml:space="preserve">ГБОУ г. Москвы «Школа </w:t>
      </w:r>
      <w:r>
        <w:rPr>
          <w:rStyle w:val="CharStyle7"/>
          <w:lang w:val="en-US" w:eastAsia="en-US"/>
        </w:rPr>
        <w:t xml:space="preserve">№ 1282 </w:t>
      </w:r>
      <w:r>
        <w:rPr>
          <w:rStyle w:val="CharStyle7"/>
        </w:rPr>
        <w:t xml:space="preserve">«Сокольники» </w:t>
      </w:r>
      <w:r>
        <w:fldChar w:fldCharType="begin"/>
      </w:r>
      <w:r>
        <w:rPr/>
        <w:instrText> HYPERLINK "mailto:1282@edu.mos.ru" </w:instrText>
      </w:r>
      <w:r>
        <w:fldChar w:fldCharType="separate"/>
      </w:r>
      <w:r>
        <w:rPr>
          <w:rStyle w:val="CharStyle7"/>
          <w:lang w:val="en-US" w:eastAsia="en-US"/>
        </w:rPr>
        <w:t>1282@edu.mos.ru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540" w:line="211" w:lineRule="auto"/>
        <w:ind w:left="1020" w:right="0" w:firstLine="0"/>
        <w:jc w:val="left"/>
      </w:pPr>
      <w:r>
        <w:rPr>
          <w:rStyle w:val="CharStyle7"/>
        </w:rPr>
        <w:t xml:space="preserve">ИП Плодухин Д.В. </w:t>
      </w:r>
      <w:r>
        <w:fldChar w:fldCharType="begin"/>
      </w:r>
      <w:r>
        <w:rPr/>
        <w:instrText> HYPERLINK "mailto:d_plodukhin@mail.ru" </w:instrText>
      </w:r>
      <w:r>
        <w:fldChar w:fldCharType="separate"/>
      </w:r>
      <w:r>
        <w:rPr>
          <w:rStyle w:val="CharStyle7"/>
          <w:lang w:val="en-US" w:eastAsia="en-US"/>
        </w:rPr>
        <w:t>d_plodukhin@mail.ru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  <w:br/>
        <w:t xml:space="preserve">по делу </w:t>
      </w:r>
      <w:r>
        <w:rPr>
          <w:rStyle w:val="CharStyle7"/>
          <w:b/>
          <w:bCs/>
          <w:lang w:val="en-US" w:eastAsia="en-US"/>
        </w:rPr>
        <w:t>№ 077/06/105-6114/2026</w:t>
        <w:br/>
      </w:r>
      <w:r>
        <w:rPr>
          <w:rStyle w:val="CharStyle7"/>
          <w:b/>
          <w:bCs/>
        </w:rPr>
        <w:t>о нарушении 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14.05.2026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ИП Плодухин Д.В.: И.А. Строевой (по доверенности </w:t>
      </w:r>
      <w:r>
        <w:rPr>
          <w:rStyle w:val="CharStyle7"/>
          <w:lang w:val="en-US" w:eastAsia="en-US"/>
        </w:rPr>
        <w:t xml:space="preserve">№ 260401/01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01.04.2026);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ГБОУ г. Москвы «Школа </w:t>
      </w:r>
      <w:r>
        <w:rPr>
          <w:rStyle w:val="CharStyle7"/>
          <w:lang w:val="en-US" w:eastAsia="en-US"/>
        </w:rPr>
        <w:t xml:space="preserve">№ 1282 </w:t>
      </w:r>
      <w:r>
        <w:rPr>
          <w:rStyle w:val="CharStyle7"/>
        </w:rPr>
        <w:t xml:space="preserve">«Сокольники»: А.Р. Закриеева (по доверенности </w:t>
      </w:r>
      <w:r>
        <w:rPr>
          <w:rStyle w:val="CharStyle7"/>
          <w:lang w:val="en-US" w:eastAsia="en-US"/>
        </w:rPr>
        <w:t xml:space="preserve">№ 17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01.09.2025), </w:t>
      </w:r>
      <w:r>
        <w:rPr>
          <w:rStyle w:val="CharStyle7"/>
        </w:rPr>
        <w:t xml:space="preserve">Л.И. Соколова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>08.05.2026);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А.В. Ильянковой: до объявления перерыва в рассмотрении жалобы в качестве слушателя;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ИП Плодухин Д.В.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ГБОУ г. Москвы «Школа </w:t>
      </w:r>
      <w:r>
        <w:rPr>
          <w:rStyle w:val="CharStyle7"/>
          <w:lang w:val="en-US" w:eastAsia="en-US"/>
        </w:rPr>
        <w:t xml:space="preserve">№ 1282 </w:t>
      </w:r>
      <w:r>
        <w:rPr>
          <w:rStyle w:val="CharStyle7"/>
        </w:rPr>
        <w:t xml:space="preserve">«Сокольники»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электронного аукциона на право заключения государственного контракта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оказание услуг по техническому обслуживанию автоматов питьевой воды (Закупка </w:t>
      </w:r>
      <w:r>
        <w:rPr>
          <w:rStyle w:val="CharStyle7"/>
          <w:lang w:val="en-US" w:eastAsia="en-US"/>
        </w:rPr>
        <w:t xml:space="preserve">№ 0373200279326000002)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закупка,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п.7 ч.1 ст.42 Закона о контрактной системе извещение об осуществлении закупки должно содержать информацию информация об объеме (за исключением случая, предусмотренного ч.24 ст.22 Закона о контрактной системе), о единице измерения (при наличии) и месте выполнения работы или оказания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ч.24 ст.22 Закона о контрактной системе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ст.19 Закона о контрактной системе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Закона о контрактной системе,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Законом о контрактной системе не установлено иное.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описанию объекта закупки Заказчиком установлены требования к техническому обслуживанию бытовой техники и электроники,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Вид услуги: Техническое обслуживание.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Вид оборудования: Бытовое.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Место оказания услуги: Территория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Периодичность оказания услуги: По заявкам.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Предоставление запчастей, комплектующих, ресурсных материалов: Исполнителем.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Группа оборудования: Оборудование автоматической подачи питьевой воды.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Наименование оборудования: Пурифайер.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доводам жалобы описание объекта закупки не содержит наименование моделей или товарных знаков обслуживаемого оборудования, не описан непосредственно сам перечень и объем запчастей, комплектующих, ресурсных материалов, следовательно, участник закупки не имеет возможность определить оборудование, подлежащее техническому обслуживанию.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этом по мнению Заявителя не предоставляется возможным определить объем выполняемых работ, периодичность услуг, количество самих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услуги должны оказываться по заявкам Заказчика, что не вводит потенциального участника закупки в заблуждение, а напротив предоставляет информацию об исчерпывающем объеме оказываемых услуг по каждому адресу.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пункту </w:t>
      </w:r>
      <w:r>
        <w:rPr>
          <w:rStyle w:val="CharStyle7"/>
          <w:lang w:val="en-US" w:eastAsia="en-US"/>
        </w:rPr>
        <w:t xml:space="preserve">2.9 </w:t>
      </w:r>
      <w:r>
        <w:rPr>
          <w:rStyle w:val="CharStyle7"/>
        </w:rPr>
        <w:t xml:space="preserve">проекта технического задания оказание услуг производится в соответствии с Приложением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к Техническому заданию. Конкретная дата определяется Заказчиком путем направления заявки не позднее чем за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(Три) рабочих дня до даты предоставления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Таким образом, указание точного количества штук автоматов питьевой воды, установленных у Заказчика, не влияет на информацию об объемах оказываемых Исполнителем услуг, поскольку Заказчик может осуществлять сервисное обслуживание автомата питьевой воды по своему усмотрению в соответствии с регламентом производителя оборудования и частотой использования данного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По пункту </w:t>
      </w:r>
      <w:r>
        <w:rPr>
          <w:rStyle w:val="CharStyle7"/>
          <w:lang w:val="en-US" w:eastAsia="en-US"/>
        </w:rPr>
        <w:t xml:space="preserve">3.2 </w:t>
      </w:r>
      <w:r>
        <w:rPr>
          <w:rStyle w:val="CharStyle7"/>
        </w:rPr>
        <w:t>проекта технического задания услуги оказываются в соответствии с регламентом производителя оборудования (паспорт, техническая документация и т.п.) и нормативными правовыми актами Российской Федерации, регламентирующими данный вид деятельности.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«Пурифайер»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это не штучный товар, а система, и объём обслуживания зависит не от количества корпусов.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Одно и то же устройство раздачи воды обслуживается по регламентам: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Ежемесячно: тест-полоски воды, внешний осмотр.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Раз в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месяца: замена предфильтров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Раз в год: замена угольного фильтра, УФ-лампы, чистка бака, проверка давления фреона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Раз в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года: замена мембраны (в обратноосмотических моделях)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Техническое обслуживание пурифайера </w:t>
      </w:r>
      <w:r>
        <w:rPr>
          <w:rStyle w:val="CharStyle7"/>
          <w:lang w:val="en-US" w:eastAsia="en-US"/>
        </w:rPr>
        <w:t xml:space="preserve">— 1 </w:t>
      </w:r>
      <w:r>
        <w:rPr>
          <w:rStyle w:val="CharStyle7"/>
        </w:rPr>
        <w:t xml:space="preserve">условная единица» означает: «Базовый регламент работ для данной модели/класса пурифайера, соответствующий регламенту производителя (чаще всего фильтр </w:t>
      </w:r>
      <w:r>
        <w:rPr>
          <w:rStyle w:val="CharStyle7"/>
          <w:lang w:val="en-US" w:eastAsia="en-US"/>
        </w:rPr>
        <w:t xml:space="preserve">+ </w:t>
      </w:r>
      <w:r>
        <w:rPr>
          <w:rStyle w:val="CharStyle7"/>
        </w:rPr>
        <w:t xml:space="preserve">дезинфекция </w:t>
      </w:r>
      <w:r>
        <w:rPr>
          <w:rStyle w:val="CharStyle7"/>
          <w:lang w:val="en-US" w:eastAsia="en-US"/>
        </w:rPr>
        <w:t xml:space="preserve">+ </w:t>
      </w:r>
      <w:r>
        <w:rPr>
          <w:rStyle w:val="CharStyle7"/>
        </w:rPr>
        <w:t xml:space="preserve">проверка электрики), без привязки к физическому количеству корпусов, так как реальные трудозатраты и набор операций зависят от модификации, давности и типа обслуживания (текущее/сезонное/полное)». Поэтому для услуги используется условная единица, а для товара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штука.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представителем Заявителя не представлено возражений относительно позиции Заказчика о возможности определения объема выполняемых в рамках данной закупки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относительно отсутствия в описании объекта закупки наименования моделей или товарных знаков обслуживаемого оборудования представителем Заявителя не представлено документов и сведений, подтверждающих обоснованность данного довода жалобы и того, ввиду чего не указание в описании объекта закупки данных сведений приведет к невозможности выполнить техническое обслуживание пурифайера.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При этом, при проведении закупок заказчики описывают объекты закупок, руководствуясь положениями Закона о контрактной системе, при условии, что такие требования не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Комиссия Управления отмечает, что 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14.05.2026 </w:t>
      </w:r>
      <w:r>
        <w:rPr>
          <w:rStyle w:val="CharStyle7"/>
        </w:rPr>
        <w:t>№ИЭА1 на участие в данной закупочной процедуре подано три заявки участников, признанные соответствующими требованиям извещения, что также свидетельствует о возможности сформировать заявку на условиях описания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выводу, что данные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Признать жалобу ИП Плодухин Д.В. на действия ГБОУ г. Москвы «Школа </w:t>
      </w:r>
      <w:r>
        <w:rPr>
          <w:rStyle w:val="CharStyle7"/>
          <w:lang w:val="en-US" w:eastAsia="en-US"/>
        </w:rPr>
        <w:t xml:space="preserve">№ 1282 </w:t>
      </w:r>
      <w:r>
        <w:rPr>
          <w:rStyle w:val="CharStyle7"/>
        </w:rPr>
        <w:t>«Сокольники»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7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261" w:right="544" w:bottom="132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292100" distB="216535" distL="0" distR="0" simplePos="0" relativeHeight="125829387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292100</wp:posOffset>
                </wp:positionV>
                <wp:extent cx="184404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23.pt;width:145.20000000000002pt;height:19.900000000000002pt;z-index:-125829366;mso-wrap-distance-left:0;mso-wrap-distance-top:2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6235" distB="0" distL="0" distR="1786255" simplePos="0" relativeHeight="125829389" behindDoc="0" locked="0" layoutInCell="1" allowOverlap="1">
            <wp:simplePos x="0" y="0"/>
            <wp:positionH relativeFrom="page">
              <wp:posOffset>3155950</wp:posOffset>
            </wp:positionH>
            <wp:positionV relativeFrom="paragraph">
              <wp:posOffset>356235</wp:posOffset>
            </wp:positionV>
            <wp:extent cx="359410" cy="40830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454025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60000000000002pt;margin-top:35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216535" distL="0" distR="0" simplePos="0" relativeHeight="125829390" behindDoc="0" locked="0" layoutInCell="1" allowOverlap="1">
                <wp:simplePos x="0" y="0"/>
                <wp:positionH relativeFrom="page">
                  <wp:posOffset>6069965</wp:posOffset>
                </wp:positionH>
                <wp:positionV relativeFrom="paragraph">
                  <wp:posOffset>292100</wp:posOffset>
                </wp:positionV>
                <wp:extent cx="114617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7.94999999999999pt;margin-top:23.pt;width:90.25pt;height:19.900000000000002pt;z-index:-125829363;mso-wrap-distance-left:0;mso-wrap-distance-top:23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01" w:right="546" w:bottom="265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40995" distL="0" distR="0" simplePos="0" relativeHeight="12582939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152400</wp:posOffset>
                </wp:positionV>
                <wp:extent cx="134429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12.pt;width:105.85000000000001pt;height:19.699999999999999pt;z-index:-125829361;mso-wrap-distance-left:0;mso-wrap-distance-top:12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2250" distB="0" distL="0" distR="1786255" simplePos="0" relativeHeight="125829394" behindDoc="0" locked="0" layoutInCell="1" allowOverlap="1">
            <wp:simplePos x="0" y="0"/>
            <wp:positionH relativeFrom="page">
              <wp:posOffset>3155950</wp:posOffset>
            </wp:positionH>
            <wp:positionV relativeFrom="paragraph">
              <wp:posOffset>222250</wp:posOffset>
            </wp:positionV>
            <wp:extent cx="359410" cy="52451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3616325</wp:posOffset>
                </wp:positionH>
                <wp:positionV relativeFrom="paragraph">
                  <wp:posOffset>627380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4.75pt;margin-top:49.3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310515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60000000000002pt;margin-top:24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40995" distL="0" distR="0" simplePos="0" relativeHeight="125829395" behindDoc="0" locked="0" layoutInCell="1" allowOverlap="1">
                <wp:simplePos x="0" y="0"/>
                <wp:positionH relativeFrom="page">
                  <wp:posOffset>6063615</wp:posOffset>
                </wp:positionH>
                <wp:positionV relativeFrom="paragraph">
                  <wp:posOffset>152400</wp:posOffset>
                </wp:positionV>
                <wp:extent cx="111887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77.44999999999999pt;margin-top:12.pt;width:88.100000000000009pt;height:19.699999999999999pt;z-index:-125829358;mso-wrap-distance-left:0;mso-wrap-distance-top:12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7" behindDoc="0" locked="0" layoutInCell="1" allowOverlap="1">
            <wp:simplePos x="0" y="0"/>
            <wp:positionH relativeFrom="page">
              <wp:posOffset>3155950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3619500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5.pt;margin-top:36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3576320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60000000000002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80" w:line="240" w:lineRule="auto"/>
        <w:ind w:left="0" w:right="0" w:firstLine="0"/>
        <w:jc w:val="center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28.02.2027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5"/>
        </w:rPr>
        <w:t>Исп.Мацнева М.О.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25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01" w:right="546" w:bottom="180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9926955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2026-24599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81.64999999999998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2026-24599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10300970</wp:posOffset>
              </wp:positionV>
              <wp:extent cx="734695" cy="1282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2026-24599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811.10000000000002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2026-24599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633095</wp:posOffset>
              </wp:positionV>
              <wp:extent cx="7620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49.850000000000001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5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100"/>
      <w:ind w:left="46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