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Липецкой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пл. Плеханова, 1, г. Липецк, 398050</w:t>
        <w:br/>
        <w:t>тел./факс (4742) 27-14-82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"mailto:to48@fas.gov.ru" </w:instrText>
      </w:r>
      <w:r>
        <w:fldChar w:fldCharType="separate"/>
      </w:r>
      <w:r>
        <w:rPr>
          <w:rStyle w:val="CharStyle6"/>
          <w:lang w:val="en-US" w:eastAsia="en-US"/>
        </w:rPr>
        <w:t>to48@fas.gov.ru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fldChar w:fldCharType="begin"/>
      </w:r>
      <w:r>
        <w:rPr/>
        <w:instrText> HYPERLINK "http://lipetsk.fas.gov.ru" </w:instrText>
      </w:r>
      <w:r>
        <w:fldChar w:fldCharType="separate"/>
      </w:r>
      <w:r>
        <w:rPr>
          <w:rStyle w:val="CharStyle6"/>
          <w:lang w:val="en-US" w:eastAsia="en-US"/>
        </w:rPr>
        <w:t>http://lipetsk.fas.gov.ru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9.05.202£</w:t>
      </w:r>
      <w:r>
        <w:fldChar w:fldCharType="end"/>
      </w:r>
      <w:r>
        <w:rPr>
          <w:rStyle w:val="CharStyle11"/>
        </w:rPr>
        <w:t xml:space="preserve"> № </w:t>
      </w:r>
      <w:r>
        <w:rPr>
          <w:rStyle w:val="CharStyle11"/>
          <w:u w:val="single"/>
        </w:rPr>
        <w:t>ИП/3276/2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5"/>
          <w:lang w:val="en-US" w:eastAsia="en-US"/>
        </w:rPr>
        <w:t>ko@sberbank-ast.ru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Муниципальное учреждение «Централизованная библиотечная система» города Липецка </w:t>
      </w:r>
      <w:r>
        <w:fldChar w:fldCharType="begin"/>
      </w:r>
      <w:r>
        <w:rPr/>
        <w:instrText> HYPERLINK "mailto:cbs_zakupka@mail.ru" </w:instrText>
      </w:r>
      <w:r>
        <w:fldChar w:fldCharType="separate"/>
      </w:r>
      <w:r>
        <w:rPr>
          <w:rStyle w:val="CharStyle15"/>
          <w:lang w:val="en-US" w:eastAsia="en-US"/>
        </w:rPr>
        <w:t>cbs_zakupka@mail.ru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ОБЩЕСТВО С ОГРАНИЧЕННОЙ ОТВЕТСТВЕННОСТЬЮ "СОЛИНГ" </w:t>
      </w:r>
      <w:r>
        <w:fldChar w:fldCharType="begin"/>
      </w:r>
      <w:r>
        <w:rPr/>
        <w:instrText> HYPERLINK "mailto:soling-yacht@mail.ru" </w:instrText>
      </w:r>
      <w:r>
        <w:fldChar w:fldCharType="separate"/>
      </w:r>
      <w:r>
        <w:rPr>
          <w:rStyle w:val="CharStyle15"/>
          <w:lang w:val="en-US" w:eastAsia="en-US"/>
        </w:rPr>
        <w:t>soling-yacht@mail.ru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Областное казенное учреждение "Управление по размещению госзаказа Липецкой области"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91" w:bottom="1197" w:left="1135" w:header="0" w:footer="3" w:gutter="0"/>
          <w:pgNumType w:start="1"/>
          <w:cols w:num="2" w:space="720" w:equalWidth="0">
            <w:col w:w="4238" w:space="1032"/>
            <w:col w:w="470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"mailto:reception_goszakaz@admlr.lipetsk.ru" </w:instrText>
      </w:r>
      <w:r>
        <w:fldChar w:fldCharType="separate"/>
      </w:r>
      <w:r>
        <w:rPr>
          <w:rStyle w:val="CharStyle15"/>
          <w:lang w:val="en-US" w:eastAsia="en-US"/>
        </w:rPr>
        <w:t>reception_goszakaz@admlr.lipetsk.ru</w:t>
      </w:r>
      <w:r>
        <w:fldChar w:fldCharType="end"/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РЕШЕНИЕ № 48/ 6/15-447/226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6408420</wp:posOffset>
                </wp:positionH>
                <wp:positionV relativeFrom="paragraph">
                  <wp:posOffset>12700</wp:posOffset>
                </wp:positionV>
                <wp:extent cx="743585" cy="25019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4.60000000000002pt;margin-top:1.pt;width:58.550000000000004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«15» мая 2026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Резолютивная часть решения оглашена 15.05.2026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5"/>
        </w:rPr>
        <w:t>Решение в полном объеме изготовлено 2.5.226.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–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председатель Комиссии: И.В. Поткина –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члены Комиссии: В.И. Аникеева – ведущий специалист-эксперт отдела контроля закупок и торгов, Ю.П. Хорина - специалист-эксперт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при участии посредством видеоконференцсвязи представителей: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ООО «СОЛИНГ» (далее-заявитель, общество): А.Н. Пылева (по доверенности),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областного казенного учреждения «Управление по размещению госзаказа Липецкой области» (далее-уполномоченное учреждение): В.С. Ульшиной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5"/>
        </w:rPr>
        <w:t>рассмотрев жалобу ООО «СОЛИНГ» на действия комиссии по осуществлению закупок областного казенного учреждения «Управление по размещению госзаказа Липецкой области» при проведении электронного аукциона на поставку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>llllilillllliilllllllllll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5"/>
        </w:rPr>
        <w:t xml:space="preserve">компьютеров персональных настольных (моноблоки) в рамках федерального проекта "Семейные ценности и инфраструктура культуры" (реестровый номер </w:t>
      </w:r>
      <w:r>
        <w:rPr>
          <w:rStyle w:val="CharStyle15"/>
          <w:lang w:val="en-US" w:eastAsia="en-US"/>
        </w:rPr>
        <w:t xml:space="preserve">0846500000626000251)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электронный аукцион; закупка), а также другие документы (копии), представленные сторонами, а также проведя внеплановую проверку в соответствии со ст.99 Закона о контрактной системе и на основании приказа Липецкого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В Липецкое УФАС России посредством ЕИС поступила жалоба ООО «СОЛИНГ» на действия комиссии по осуществлению закупок при проведении электронного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 xml:space="preserve">Жалоба подготовлена в соответствии с требованиями 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системе) и подана в срок, установленный ст.105 Закона о контрактной системе. В связи с этим жалоба была принята Липецким УФАС России к рассмотрению.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Сведения о времени и месте рассмотрения жалобы размещены Липецким УФАС России в ЕИС, а также направлены сторонам по электронной почте. Следовательно, стороны уведомлены о месте и времени рассмотрения жалобы. Муниципальное учреждение "Централизованная библиотечная система" города Липецка (далее-заказчик) не явился, явку своего представителя не обеспечил.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Представитель заявителя поддержал доводы жалобы и считает, что комиссия уполномоченного учреждения при подведении итогов определения поставщика необоснованно отклонила заявку общества, так как в структурированной форме заявки общество не могло указать сведения о товарном знаке «Бештау», так как данный товарный знак кроме словесного выражения имеет графическое изображение.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5"/>
        </w:rPr>
        <w:t>Представитель уполномоченного учреждения не согласился с доводами жалобы и указал, что заявителю в заявке достаточно было указать номер реестровой записи регистрации товарного знака.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  <w:lang w:val="en-US" w:eastAsia="en-US"/>
        </w:rPr>
        <w:t xml:space="preserve">21.04.2026 </w:t>
      </w:r>
      <w:r>
        <w:rPr>
          <w:rStyle w:val="CharStyle15"/>
        </w:rPr>
        <w:t xml:space="preserve">в ЕИС размещено извещение об осуществлении закупки с предусмотренными 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приложениями.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- 621 484,00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 xml:space="preserve">Объект закупки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компьютеры персональные настольные (моноблоки) в рамках федерального проекта "Семейные ценности и инфраструктура культуры".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 xml:space="preserve">В ЕИС и на электронной площадке </w:t>
      </w:r>
      <w:r>
        <w:rPr>
          <w:rStyle w:val="CharStyle15"/>
          <w:lang w:val="en-US" w:eastAsia="en-US"/>
        </w:rPr>
        <w:t xml:space="preserve">07.05.2026 </w:t>
      </w:r>
      <w:r>
        <w:rPr>
          <w:rStyle w:val="CharStyle15"/>
        </w:rPr>
        <w:t xml:space="preserve">размещен протокол подведения итогов определения поставщика (подрядчика, исполнителя) №ИЭА1, согласно которому участие в закупке приняли участие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участников, из них заявки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участников соответствуют требованиям извещения,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заявки отклонены.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5"/>
        </w:rPr>
        <w:t xml:space="preserve">Заявка с идентификационным номером </w:t>
      </w:r>
      <w:r>
        <w:rPr>
          <w:rStyle w:val="CharStyle15"/>
          <w:lang w:val="en-US" w:eastAsia="en-US"/>
        </w:rPr>
        <w:t xml:space="preserve">188 </w:t>
      </w:r>
      <w:r>
        <w:rPr>
          <w:rStyle w:val="CharStyle15"/>
        </w:rPr>
        <w:t xml:space="preserve">(заявка заявителя) отклонена по следующим основаниям: «(п.1 ч.12 ст. </w:t>
      </w:r>
      <w:r>
        <w:rPr>
          <w:rStyle w:val="CharStyle15"/>
          <w:lang w:val="en-US" w:eastAsia="en-US"/>
        </w:rPr>
        <w:t xml:space="preserve">48) - </w:t>
      </w:r>
      <w:r>
        <w:rPr>
          <w:rStyle w:val="CharStyle15"/>
        </w:rPr>
        <w:t>непредставление информации 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документов, предусмотренных извещением, несоответствия таких информации и документов: заявка с идентификационным номером </w:t>
      </w:r>
      <w:r>
        <w:rPr>
          <w:rStyle w:val="CharStyle15"/>
          <w:lang w:val="en-US" w:eastAsia="en-US"/>
        </w:rPr>
        <w:t xml:space="preserve">188 </w:t>
      </w:r>
      <w:r>
        <w:rPr>
          <w:rStyle w:val="CharStyle15"/>
        </w:rPr>
        <w:t xml:space="preserve">на участие в закупке отклоняется в связи с непредставлением участником закупки информации о товарном знаке (при наличии у товара товарного знака), предусмотренной пп. </w:t>
      </w:r>
      <w:r>
        <w:rPr>
          <w:rStyle w:val="CharStyle15"/>
          <w:lang w:val="en-US" w:eastAsia="en-US"/>
        </w:rPr>
        <w:t xml:space="preserve">4.1 </w:t>
      </w:r>
      <w:r>
        <w:rPr>
          <w:rStyle w:val="CharStyle15"/>
        </w:rPr>
        <w:t xml:space="preserve">п.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пп. «б» п. </w:t>
      </w:r>
      <w:r>
        <w:rPr>
          <w:rStyle w:val="CharStyle15"/>
          <w:lang w:val="en-US" w:eastAsia="en-US"/>
        </w:rPr>
        <w:t xml:space="preserve">2.2 </w:t>
      </w:r>
      <w:r>
        <w:rPr>
          <w:rStyle w:val="CharStyle15"/>
        </w:rPr>
        <w:t xml:space="preserve">электронного документа «Требования к содержанию, составу заявки на участие в закупке и инструкция по ее заполнению» извещения об осуществлении закупки, требования к которой установлены в соответствии с пп. «а»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44-ФЗ. В предложении участника закупки, сформированном путем заполнения экранных форм веб-интерфейса электронной площадки, в соответствии с пунктом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08.06.2018 № 656, </w:t>
      </w:r>
      <w:r>
        <w:rPr>
          <w:rStyle w:val="CharStyle15"/>
        </w:rPr>
        <w:t xml:space="preserve">не указана информация о товарном знаке предлагаемых компьютеров персональных настольных (моноблоков) (графа «Товарный знак» содержит информацию «Отсутствует»). При этом, для подтверждения страны происхождения товара в целях реализации 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 </w:t>
      </w:r>
      <w:r>
        <w:rPr>
          <w:rStyle w:val="CharStyle15"/>
        </w:rPr>
        <w:t xml:space="preserve">участником закупки в составе заявки на участие в закупке указан (задекларирован) номер реестровой записи из реестра российской промышленной продукции </w:t>
      </w:r>
      <w:r>
        <w:rPr>
          <w:rStyle w:val="CharStyle15"/>
          <w:lang w:val="en-US" w:eastAsia="en-US"/>
        </w:rPr>
        <w:t xml:space="preserve">10713136, </w:t>
      </w:r>
      <w:r>
        <w:rPr>
          <w:rStyle w:val="CharStyle15"/>
        </w:rPr>
        <w:t xml:space="preserve">которому соответствует продукция с наименованием «Моноблок </w:t>
      </w:r>
      <w:r>
        <w:rPr>
          <w:rStyle w:val="CharStyle15"/>
          <w:lang w:val="en-US" w:eastAsia="en-US"/>
        </w:rPr>
        <w:t xml:space="preserve">27 </w:t>
      </w:r>
      <w:r>
        <w:rPr>
          <w:rStyle w:val="CharStyle15"/>
        </w:rPr>
        <w:t xml:space="preserve">БЕШТАУ </w:t>
      </w:r>
      <w:r>
        <w:rPr>
          <w:rStyle w:val="CharStyle15"/>
          <w:lang w:val="en-US" w:eastAsia="en-US"/>
        </w:rPr>
        <w:t xml:space="preserve">AIO2703/B550, </w:t>
      </w:r>
      <w:r>
        <w:rPr>
          <w:rStyle w:val="CharStyle15"/>
        </w:rPr>
        <w:t xml:space="preserve">БЕРТ.466219.024-007», предприятие производитель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ООО «Бештау Электроникс». Согласно информации, размещенной на официальном сайте Роспатента, на вышеуказанный предложенный участником закупки товар зарегистрирован товарный знак «БЕШТАУ».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 xml:space="preserve">Согласно сведениям, полученным от оператора электронной площадки заявителем подана заявка с идентификационным номером </w:t>
      </w:r>
      <w:r>
        <w:rPr>
          <w:rStyle w:val="CharStyle15"/>
          <w:lang w:val="en-US" w:eastAsia="en-US"/>
        </w:rPr>
        <w:t xml:space="preserve">188 </w:t>
      </w:r>
      <w:r>
        <w:rPr>
          <w:rStyle w:val="CharStyle15"/>
        </w:rPr>
        <w:t xml:space="preserve">и предложен к поставке компьютер персональный настольный (моноблок), российского происхождения, с реестровым номером </w:t>
      </w:r>
      <w:r>
        <w:rPr>
          <w:rStyle w:val="CharStyle15"/>
          <w:lang w:val="en-US" w:eastAsia="en-US"/>
        </w:rPr>
        <w:t xml:space="preserve">10713136 </w:t>
      </w:r>
      <w:r>
        <w:rPr>
          <w:rStyle w:val="CharStyle15"/>
        </w:rPr>
        <w:t xml:space="preserve">и количеством баллов </w:t>
      </w:r>
      <w:r>
        <w:rPr>
          <w:rStyle w:val="CharStyle15"/>
          <w:lang w:val="en-US" w:eastAsia="en-US"/>
        </w:rPr>
        <w:t xml:space="preserve">– 142, </w:t>
      </w:r>
      <w:r>
        <w:rPr>
          <w:rStyle w:val="CharStyle15"/>
        </w:rPr>
        <w:t xml:space="preserve">уровень радиоэлектронной продукции- </w:t>
      </w:r>
      <w:r>
        <w:rPr>
          <w:rStyle w:val="CharStyle15"/>
          <w:lang w:val="en-US" w:eastAsia="en-US"/>
        </w:rPr>
        <w:t xml:space="preserve">2. </w:t>
      </w:r>
      <w:r>
        <w:rPr>
          <w:rStyle w:val="CharStyle15"/>
        </w:rPr>
        <w:t>Товарный знак-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 xml:space="preserve">Согласно инструкции по заполнению заявки на участие в закупке приложения «требования к содержанию, составу заявки на участие в закупке и инструкция по ее заполнению» заявка на участие в закупке формируется участником закупки с использованием электронной площадки путем заполнения экранных форм ее веб-интерфейса и (или) приложения электронного документа, содержащего информацию, сформированную без использования электронной площадки, в том числе электронного образа бумажного документа (документа на бумажном носителе, преобразованного в электронную форму путем сканирования с сохранением его реквизитов в файле в формате </w:t>
      </w:r>
      <w:r>
        <w:rPr>
          <w:rStyle w:val="CharStyle15"/>
          <w:lang w:val="en-US" w:eastAsia="en-US"/>
        </w:rPr>
        <w:t>PDF);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путем заполнения экранных форм веб-интерфейса электронной площадки подлежат указанию: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товарный знак (при наличии у товара товарного знака);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 xml:space="preserve">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Федерального закона;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наименование страны происхождения товара (в соответствии с Общероссийским классификатором стран мира);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номер реестровой записи (при наличии такого номера) из реестра российской промышленной продукции, предусмотренного Федеральным законом «О промышленной политике в Российской Федерации», в отношении товара, указанного в позиции </w:t>
      </w:r>
      <w:r>
        <w:rPr>
          <w:rStyle w:val="CharStyle15"/>
          <w:lang w:val="en-US" w:eastAsia="en-US"/>
        </w:rPr>
        <w:t xml:space="preserve">199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постановлению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1875, </w:t>
      </w:r>
      <w:r>
        <w:rPr>
          <w:rStyle w:val="CharStyle15"/>
        </w:rPr>
        <w:t xml:space="preserve">если при осуществлении закупки применяется ограничение, предусмотренное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1875, </w:t>
      </w:r>
      <w:r>
        <w:rPr>
          <w:rStyle w:val="CharStyle15"/>
        </w:rPr>
        <w:t xml:space="preserve">и в соответствии с абзацем четвертым настоящего подпункта страной происхождения товара указана Российская Федерация. В случае если в отношении такого товара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17.07.2015 № 719 </w:t>
      </w:r>
      <w:r>
        <w:rPr>
          <w:rStyle w:val="CharStyle15"/>
        </w:rPr>
        <w:t>за выполнение (освоение) на территории Российской Федерации соответствующих операций (условий) установлены требования о совокупном количестве баллов, указывается совокупное количество баллов за выполнение (освоение) на территории Российской Федерации соответствующих операций (условий);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номер реестровой записи (при наличии такого номера) из евразийского реестра промышленных товаров государств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союза, в отношении товара, указанного в позиции </w:t>
      </w:r>
      <w:r>
        <w:rPr>
          <w:rStyle w:val="CharStyle15"/>
          <w:lang w:val="en-US" w:eastAsia="en-US"/>
        </w:rPr>
        <w:t xml:space="preserve">199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постановлению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1875, </w:t>
      </w:r>
      <w:r>
        <w:rPr>
          <w:rStyle w:val="CharStyle15"/>
        </w:rPr>
        <w:t xml:space="preserve">если при осуществлении закупки применяется ограничение, предусмотренное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1875, </w:t>
      </w:r>
      <w:r>
        <w:rPr>
          <w:rStyle w:val="CharStyle15"/>
        </w:rPr>
        <w:t xml:space="preserve">и в соответствии с абзацем четвертым настоящего подпункта страной происхождения товара указано государство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член Евразийского экономического союза, за исключением Российской Федерации. При этом указывается совокупное количество баллов за выполнение (освоение) на территории Евразийского экономического союза соответствующих операций (условий), если в отношении такого товара правом Евразийского экономического союза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 случае незаполнения экранных форм веб-интерфейса электронной площадки в соответствии с подпунктом «б» настоящего пункта, заявка на участие в закупке на электронной площадке не формируется.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  <w:lang w:val="en-US" w:eastAsia="en-US"/>
        </w:rPr>
        <w:t xml:space="preserve">2.3. </w:t>
      </w:r>
      <w:r>
        <w:rPr>
          <w:rStyle w:val="CharStyle15"/>
        </w:rPr>
        <w:t>Товарный знак (при наличии у товара товарного знака) указывается участником закупки путем заполнения экранных форм веб-интерфейса электронной площадки.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При этом под товарным знаком следует понимать обозначение, служащее для индивидуализации товаров, зарегистрированное федеральным органом исполнительной власти по интеллектуальной собственности в установленном законодательством Российской Федерации порядке, и сведения о котором включены в Государственный реестр товарных знаков и знаков обслуживания Российской Федерации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Реестр).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При наличии у товара товарного знака участником закупки допускается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указание наименования (словесного обозначения) товарного знака или номера государственной регистрации товарного знака (номера регистрационного свидетельства), в т.ч. в случае, когда у товарного знака отсутствует наименование (словесное обозначение) и товарный знак зарегистрирован в виде графического изображения (либо в ином формате данных), или иной информации, позволяющей идентифицировать наличие товарного знака в Реестре.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Когда в отношении предлагаемого участником закупки товара имеется зарегистрированный товарный знак, сведения о котором включены в Реестр, но предлагаемый участником данной закупки товар не индивидуализируется производителем таким товарным знаком в соответствии с положениями Гражданского кодекса Российской Федерации, участнику закупки в составе заявки необходимо представить информацию от производителя товара или правообладателя товарного знака, подтверждающую указанный факт, либо указать в своей заявке информацию о том, что поставляемый им в рамках данной закупки товар не будет маркирован товарным знаком.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случае поставки товара, не соответствующего характеристикам или информации, указанным участником закупки в заявке на участие в закупке, в т.ч. в отношении товарного знака, заказчиком будут применены нормы Федерального закона, в т.ч. положения 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>95.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ч.5 ст.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о контрактной системе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5"/>
          <w:lang w:val="en-US" w:eastAsia="en-US"/>
        </w:rPr>
        <w:t xml:space="preserve">1 - 8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Участником закупки в составе заявки на участие в закупке указан (задекларирован) номер реестровой записи из реестра российской промышленной продукции </w:t>
      </w:r>
      <w:r>
        <w:rPr>
          <w:rStyle w:val="CharStyle15"/>
          <w:lang w:val="en-US" w:eastAsia="en-US"/>
        </w:rPr>
        <w:t xml:space="preserve">10713136, </w:t>
      </w:r>
      <w:r>
        <w:rPr>
          <w:rStyle w:val="CharStyle15"/>
        </w:rPr>
        <w:t xml:space="preserve">которому соответствует продукция с наименованием «Моноблок </w:t>
      </w:r>
      <w:r>
        <w:rPr>
          <w:rStyle w:val="CharStyle15"/>
          <w:lang w:val="en-US" w:eastAsia="en-US"/>
        </w:rPr>
        <w:t xml:space="preserve">27 </w:t>
      </w:r>
      <w:r>
        <w:rPr>
          <w:rStyle w:val="CharStyle15"/>
        </w:rPr>
        <w:t xml:space="preserve">БЕШТАУ </w:t>
      </w:r>
      <w:r>
        <w:rPr>
          <w:rStyle w:val="CharStyle15"/>
          <w:lang w:val="en-US" w:eastAsia="en-US"/>
        </w:rPr>
        <w:t xml:space="preserve">AIO2703/B550, </w:t>
      </w:r>
      <w:r>
        <w:rPr>
          <w:rStyle w:val="CharStyle15"/>
        </w:rPr>
        <w:t xml:space="preserve">БЕРТ.466219.024-007», предприятие производитель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ООО «Бештау Электроникс».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информации, размещенной на официальном сайте Роспатента, на вышеуказанный предложенный участником закупки товар зарегистрирован товарный знак «БЕШТАУ» (номер регистрации: </w:t>
      </w:r>
      <w:r>
        <w:rPr>
          <w:rStyle w:val="CharStyle15"/>
          <w:lang w:val="en-US" w:eastAsia="en-US"/>
        </w:rPr>
        <w:t>896247).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отмечает, что заявитель также не был лишен возможности (и это содержалось в инструкции по заполнению заявки) в графе «Товарный знак» указать сведения о номере государственной регистрации товарного знака.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В ходе анализа представленных документов и сведений Комиссия пришла к выводу, что порядок рассмотрения заявок комиссией по осуществлению закупок уполномоченного учреждения не нарушен.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Руководствуясь ст.ст. </w:t>
      </w:r>
      <w:r>
        <w:rPr>
          <w:rStyle w:val="CharStyle15"/>
          <w:lang w:val="en-US" w:eastAsia="en-US"/>
        </w:rPr>
        <w:t xml:space="preserve">99, 105, 106 </w:t>
      </w:r>
      <w:r>
        <w:rPr>
          <w:rStyle w:val="CharStyle15"/>
        </w:rPr>
        <w:t>Закона о контрактной системе, Комиссия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Р Е Ш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Признать жалобу ООО «СОЛИНГ» на действия комиссии по осуществлению закупок областного казенного учреждения «Управление по размещению госзаказа Липецкой области» при проведении электронного аукциона на поставку компьютеров персональных настольных (моноблоки) в рамках федерального проекта "Семейные ценности и инфраструктура культуры" (реестровый номер </w:t>
      </w:r>
      <w:r>
        <w:rPr>
          <w:rStyle w:val="CharStyle15"/>
          <w:lang w:val="en-US" w:eastAsia="en-US"/>
        </w:rPr>
        <w:t xml:space="preserve">0846500000626000251)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7" w:bottom="1197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16764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85928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00000000000003pt;margin-top:24.pt;width:146.40000000000001pt;height:19.900000000000002pt;z-index:-125829373;mso-wrap-distance-left:0;mso-wrap-distance-top:24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6090" distB="0" distL="0" distR="0" simplePos="0" relativeHeight="1258293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466090</wp:posOffset>
                </wp:positionV>
                <wp:extent cx="1722120" cy="25908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2.05000000000001pt;margin-top:36.700000000000003pt;width:135.59999999999999pt;height:20.400000000000002pt;z-index:-125829371;mso-wrap-distance-left:0;mso-wrap-distance-top:36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67640" distL="0" distR="0" simplePos="0" relativeHeight="125829384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paragraph">
                  <wp:posOffset>304800</wp:posOffset>
                </wp:positionV>
                <wp:extent cx="106045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2.5pt;margin-top:24.pt;width:83.5pt;height:19.900000000000002pt;z-index:-125829369;mso-wrap-distance-left:0;mso-wrap-distance-top:24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Поткина Ирина Владимировна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34BC6067F93C2077028AB856911D8A49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Действителен с 29.04.2025 </w:t>
      </w:r>
      <w:r>
        <w:rPr>
          <w:rStyle w:val="CharStyle24"/>
          <w:color w:val="555555"/>
        </w:rPr>
        <w:t xml:space="preserve">по </w:t>
      </w:r>
      <w:r>
        <w:rPr>
          <w:rStyle w:val="CharStyle24"/>
        </w:rPr>
        <w:t>23.07.2026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675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177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7477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950000000000003pt;margin-top:7.pt;width:108.25pt;height:19.699999999999999pt;z-index:-125829367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6690" distB="0" distL="0" distR="1816735" simplePos="0" relativeHeight="125829388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186690</wp:posOffset>
            </wp:positionV>
            <wp:extent cx="298450" cy="347345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247650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pt;margin-top:19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1770" distL="0" distR="0" simplePos="0" relativeHeight="125829389" behindDoc="0" locked="0" layoutInCell="1" allowOverlap="1">
                <wp:simplePos x="0" y="0"/>
                <wp:positionH relativeFrom="page">
                  <wp:posOffset>6061075</wp:posOffset>
                </wp:positionH>
                <wp:positionV relativeFrom="paragraph">
                  <wp:posOffset>88900</wp:posOffset>
                </wp:positionV>
                <wp:extent cx="112776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В.И. Аникеева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7.25pt;margin-top:7.pt;width:88.799999999999997pt;height:19.699999999999999pt;z-index:-125829364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В.И. Аникеева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685800</wp:posOffset>
            </wp:positionV>
            <wp:extent cx="359410" cy="52451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1090930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5.15000000000001pt;margin-top:85.900000000000006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774065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2.pt;margin-top:60.950000000000003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Аникеева Вера Ивановна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5FA9E6CB20BCA8AE45AFB646B2A5B65D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4"/>
        </w:rPr>
        <w:t xml:space="preserve">Действителен с 10.02.2026 </w:t>
      </w:r>
      <w:r>
        <w:rPr>
          <w:rStyle w:val="CharStyle24"/>
          <w:color w:val="555555"/>
        </w:rPr>
        <w:t xml:space="preserve">по </w:t>
      </w:r>
      <w:r>
        <w:rPr>
          <w:rStyle w:val="CharStyle24"/>
        </w:rPr>
        <w:t>06.05.2027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rPr>
          <w:rStyle w:val="CharStyle15"/>
        </w:rPr>
        <w:t>Ю.П. Хорина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</w:t>
      </w:r>
      <w:r>
        <w:rPr>
          <w:rStyle w:val="CharStyle24"/>
          <w:color w:val="555555"/>
        </w:rPr>
        <w:t xml:space="preserve">выдан: </w:t>
      </w:r>
      <w:r>
        <w:rPr>
          <w:rStyle w:val="CharStyle24"/>
          <w:color w:val="000000"/>
          <w:sz w:val="11"/>
          <w:szCs w:val="11"/>
        </w:rPr>
        <w:t>Хорина Юлия Петровна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00B6BA04CC4FD4D1E06E2AF82EBB5DD4</w:t>
      </w:r>
      <w:r>
        <w:rPr>
          <w:rStyle w:val="CharStyle24"/>
          <w:lang w:val="en-US" w:eastAsia="en-US"/>
        </w:rPr>
        <w:t>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4"/>
        </w:rPr>
        <w:t xml:space="preserve">Действителен с 10.02.2026 </w:t>
      </w:r>
      <w:r>
        <w:rPr>
          <w:rStyle w:val="CharStyle24"/>
          <w:color w:val="555555"/>
        </w:rPr>
        <w:t>по 06.05.2027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714375</wp:posOffset>
              </wp:positionH>
              <wp:positionV relativeFrom="page">
                <wp:posOffset>10010140</wp:posOffset>
              </wp:positionV>
              <wp:extent cx="66421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226-4148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25pt;margin-top:788.20000000000005pt;width:52.300000000000004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226-4148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9851390</wp:posOffset>
              </wp:positionV>
              <wp:extent cx="66421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226-4148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5pt;margin-top:775.70000000000005pt;width:52.300000000000004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226-4148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Body text (3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7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1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6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Body text (3)"/>
    <w:basedOn w:val="Normal"/>
    <w:link w:val="CharStyle17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