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26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both"/>
      </w:pPr>
      <w:r>
        <w:rPr>
          <w:rStyle w:val="CharStyle6"/>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от</w:t>
      </w:r>
    </w:p>
    <w:p>
      <w:pPr>
        <w:pStyle w:val="Style9"/>
        <w:keepNext w:val="0"/>
        <w:keepLines w:val="0"/>
        <w:widowControl w:val="0"/>
        <w:shd w:val="clear" w:color="auto" w:fill="auto"/>
        <w:bidi w:val="0"/>
        <w:spacing w:before="0" w:after="280" w:line="240" w:lineRule="auto"/>
        <w:ind w:left="0" w:right="0" w:firstLine="0"/>
        <w:jc w:val="left"/>
      </w:pPr>
      <w:r>
        <w:rPr>
          <w:rStyle w:val="CharStyle10"/>
        </w:rPr>
        <w:t>ФГБУ «НМИЦ ТО им. Н.Н. Приорова» Минздрава России</w:t>
      </w:r>
    </w:p>
    <w:p>
      <w:pPr>
        <w:pStyle w:val="Style9"/>
        <w:keepNext w:val="0"/>
        <w:keepLines w:val="0"/>
        <w:widowControl w:val="0"/>
        <w:shd w:val="clear" w:color="auto" w:fill="auto"/>
        <w:bidi w:val="0"/>
        <w:spacing w:before="0" w:after="280" w:line="240" w:lineRule="auto"/>
        <w:ind w:left="0" w:right="0" w:firstLine="0"/>
        <w:jc w:val="left"/>
      </w:pPr>
      <w:r>
        <w:fldChar w:fldCharType="begin"/>
      </w:r>
      <w:r>
        <w:rPr/>
        <w:instrText> HYPERLINK "mailto:zakupki@cito-priorov.ru" </w:instrText>
      </w:r>
      <w:r>
        <w:fldChar w:fldCharType="separate"/>
      </w:r>
      <w:r>
        <w:rPr>
          <w:rStyle w:val="CharStyle10"/>
          <w:lang w:val="en-US" w:eastAsia="en-US"/>
        </w:rPr>
        <w:t>zakupki@cito-priorov.ru</w:t>
      </w:r>
      <w:r>
        <w:fldChar w:fldCharType="end"/>
      </w:r>
    </w:p>
    <w:p>
      <w:pPr>
        <w:pStyle w:val="Style9"/>
        <w:keepNext w:val="0"/>
        <w:keepLines w:val="0"/>
        <w:widowControl w:val="0"/>
        <w:shd w:val="clear" w:color="auto" w:fill="auto"/>
        <w:bidi w:val="0"/>
        <w:spacing w:before="0" w:after="280" w:line="240" w:lineRule="auto"/>
        <w:ind w:left="0" w:right="0" w:firstLine="0"/>
        <w:jc w:val="left"/>
      </w:pPr>
      <w:r>
        <w:rPr>
          <w:rStyle w:val="CharStyle10"/>
        </w:rPr>
        <w:t>ООО «Высота»</w:t>
      </w:r>
    </w:p>
    <w:p>
      <w:pPr>
        <w:pStyle w:val="Style9"/>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94" w:right="757" w:bottom="617" w:left="1135" w:header="0" w:footer="3" w:gutter="0"/>
          <w:pgNumType w:start="1"/>
          <w:cols w:num="2" w:space="720" w:equalWidth="0">
            <w:col w:w="4066" w:space="1205"/>
            <w:col w:w="4738"/>
          </w:cols>
          <w:noEndnote/>
          <w:titlePg/>
          <w:rtlGutter w:val="0"/>
          <w:docGrid w:linePitch="360"/>
        </w:sectPr>
      </w:pPr>
      <w:r>
        <w:fldChar w:fldCharType="begin"/>
      </w:r>
      <w:r>
        <w:rPr/>
        <w:instrText> HYPERLINK "mailto:v-med2025@yandex.ru" </w:instrText>
      </w:r>
      <w:r>
        <w:fldChar w:fldCharType="separate"/>
      </w:r>
      <w:r>
        <w:rPr>
          <w:rStyle w:val="CharStyle10"/>
          <w:lang w:val="en-US" w:eastAsia="en-US"/>
        </w:rPr>
        <w:t>v-med2025@yandex.ru</w:t>
      </w:r>
      <w:r>
        <w:fldChar w:fldCharType="end"/>
      </w: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4" w:right="0" w:bottom="655" w:left="0" w:header="0" w:footer="3" w:gutter="0"/>
          <w:cols w:space="720"/>
          <w:noEndnote/>
          <w:rtlGutter w:val="0"/>
          <w:docGrid w:linePitch="360"/>
        </w:sectPr>
      </w:pPr>
    </w:p>
    <w:p>
      <w:pPr>
        <w:widowControl w:val="0"/>
        <w:spacing w:after="335" w:line="1" w:lineRule="exact"/>
      </w:pPr>
      <w:r>
        <w:drawing>
          <wp:anchor distT="0" distB="0" distL="0" distR="0" simplePos="0" relativeHeight="62914698" behindDoc="1" locked="0" layoutInCell="1" allowOverlap="1">
            <wp:simplePos x="0" y="0"/>
            <wp:positionH relativeFrom="page">
              <wp:posOffset>708660</wp:posOffset>
            </wp:positionH>
            <wp:positionV relativeFrom="paragraph">
              <wp:posOffset>12700</wp:posOffset>
            </wp:positionV>
            <wp:extent cx="219710" cy="213360"/>
            <wp:wrapNone/>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3"/>
                    <a:stretch/>
                  </pic:blipFill>
                  <pic:spPr>
                    <a:xfrm>
                      <a:ext cx="219710" cy="213360"/>
                    </a:xfrm>
                    <a:prstGeom prst="rect"/>
                  </pic:spPr>
                </pic:pic>
              </a:graphicData>
            </a:graphic>
          </wp:anchor>
        </w:drawing>
      </w:r>
      <w:r>
        <w:drawing>
          <wp:anchor distT="0" distB="0" distL="0" distR="0" simplePos="0" relativeHeight="62914699" behindDoc="1" locked="0" layoutInCell="1" allowOverlap="1">
            <wp:simplePos x="0" y="0"/>
            <wp:positionH relativeFrom="page">
              <wp:posOffset>3122295</wp:posOffset>
            </wp:positionH>
            <wp:positionV relativeFrom="paragraph">
              <wp:posOffset>12700</wp:posOffset>
            </wp:positionV>
            <wp:extent cx="219710" cy="213360"/>
            <wp:wrapNone/>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5"/>
                    <a:stretch/>
                  </pic:blipFill>
                  <pic:spPr>
                    <a:xfrm>
                      <a:ext cx="219710" cy="21336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94" w:right="541" w:bottom="655" w:left="1101"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rStyle w:val="CharStyle10"/>
          <w:b/>
          <w:bCs/>
        </w:rPr>
        <w:t>РЕШЕНИЕ</w:t>
      </w:r>
    </w:p>
    <w:p>
      <w:pPr>
        <w:pStyle w:val="Style9"/>
        <w:keepNext w:val="0"/>
        <w:keepLines w:val="0"/>
        <w:widowControl w:val="0"/>
        <w:shd w:val="clear" w:color="auto" w:fill="auto"/>
        <w:tabs>
          <w:tab w:pos="8947" w:val="left"/>
        </w:tabs>
        <w:bidi w:val="0"/>
        <w:spacing w:before="0" w:after="0" w:line="240" w:lineRule="auto"/>
        <w:ind w:left="0" w:right="0" w:firstLine="0"/>
        <w:jc w:val="center"/>
      </w:pPr>
      <w:r>
        <w:rPr>
          <w:rStyle w:val="CharStyle10"/>
          <w:b/>
          <w:bCs/>
        </w:rPr>
        <w:t>по делу № 077/06/105-6121/2026 о нарушении</w:t>
        <w:br/>
        <w:t>законодательства о контрактной системе</w:t>
        <w:br/>
        <w:t>14.05.2026</w:t>
        <w:tab/>
        <w:t>г. Москва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20"/>
        <w:jc w:val="both"/>
      </w:pPr>
      <w:r>
        <w:rPr>
          <w:rStyle w:val="CharStyle10"/>
        </w:rPr>
        <w:t>Председательствующего: главного государственного инспектора отдела обжалования государственных закупок А.А. Кутейникова,</w:t>
      </w:r>
    </w:p>
    <w:p>
      <w:pPr>
        <w:pStyle w:val="Style9"/>
        <w:keepNext w:val="0"/>
        <w:keepLines w:val="0"/>
        <w:widowControl w:val="0"/>
        <w:shd w:val="clear" w:color="auto" w:fill="auto"/>
        <w:bidi w:val="0"/>
        <w:spacing w:before="0" w:after="0" w:line="240" w:lineRule="auto"/>
        <w:ind w:left="0" w:right="0" w:firstLine="720"/>
        <w:jc w:val="both"/>
      </w:pPr>
      <w:r>
        <w:rPr>
          <w:rStyle w:val="CharStyle10"/>
        </w:rPr>
        <w:t>Членов Комиссии: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Главного государственного инспектора отдела обжалования государственных закупок А.А. Матюшенко,</w:t>
      </w:r>
    </w:p>
    <w:p>
      <w:pPr>
        <w:pStyle w:val="Style9"/>
        <w:keepNext w:val="0"/>
        <w:keepLines w:val="0"/>
        <w:widowControl w:val="0"/>
        <w:shd w:val="clear" w:color="auto" w:fill="auto"/>
        <w:bidi w:val="0"/>
        <w:spacing w:before="0" w:after="0" w:line="240" w:lineRule="auto"/>
        <w:ind w:left="0" w:right="0" w:firstLine="720"/>
        <w:jc w:val="both"/>
      </w:pPr>
      <w:r>
        <w:rPr>
          <w:rStyle w:val="CharStyle10"/>
        </w:rPr>
        <w:t>Специалиста-эксперта отдела обжалования государственных закупок А.С. Гелмутдинова,</w:t>
      </w:r>
    </w:p>
    <w:p>
      <w:pPr>
        <w:pStyle w:val="Style9"/>
        <w:keepNext w:val="0"/>
        <w:keepLines w:val="0"/>
        <w:widowControl w:val="0"/>
        <w:shd w:val="clear" w:color="auto" w:fill="auto"/>
        <w:bidi w:val="0"/>
        <w:spacing w:before="0" w:after="0" w:line="240" w:lineRule="auto"/>
        <w:ind w:left="0" w:right="0" w:firstLine="720"/>
        <w:jc w:val="both"/>
      </w:pPr>
      <w:r>
        <w:rPr>
          <w:rStyle w:val="CharStyle10"/>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при участии представителей: ООО «Высота»: Беливич И.В. (дов.№б/н от 15.01.2026), ФГБУ «НМИЦ ТО им. Н.Н. Приорова» Минздрава России: Богдан Е.С. (дов.№25 от 20.12.2025),</w:t>
      </w:r>
    </w:p>
    <w:p>
      <w:pPr>
        <w:pStyle w:val="Style9"/>
        <w:keepNext w:val="0"/>
        <w:keepLines w:val="0"/>
        <w:widowControl w:val="0"/>
        <w:shd w:val="clear" w:color="auto" w:fill="auto"/>
        <w:bidi w:val="0"/>
        <w:spacing w:before="0" w:after="900" w:line="240" w:lineRule="auto"/>
        <w:ind w:left="0" w:right="0" w:firstLine="720"/>
        <w:jc w:val="both"/>
      </w:pPr>
      <w:r>
        <w:rPr>
          <w:rStyle w:val="CharStyle10"/>
        </w:rPr>
        <w:t>рассмотрев жалобу ООО «Высота» (далее — Заявитель) на действия ФГБУ «НМИЦ ТО им. Н.Н. Приорова» Минздрава России (далее - Заказчик) при проведении запроса котировок в электронной форме на право заключения государственного контракта на поставку генератора ультразвукового хирургической системы (аспиратор хирургический ультразвуковой) (НКМИ 127500) (Закупка №0373100068326000277) (далее – запрос котировок)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keepLines/>
        <w:widowControl w:val="0"/>
        <w:shd w:val="clear" w:color="auto" w:fill="auto"/>
        <w:bidi w:val="0"/>
        <w:spacing w:before="0" w:after="0" w:line="240" w:lineRule="auto"/>
        <w:ind w:left="0" w:right="0"/>
        <w:jc w:val="left"/>
      </w:pPr>
      <w:bookmarkStart w:id="0" w:name="bookmark0"/>
      <w:r>
        <w:rPr>
          <w:rStyle w:val="CharStyle13"/>
        </w:rPr>
        <w:t>IIIIIIIIIIIIIIIIIIIIIIIIIIII</w:t>
      </w:r>
      <w:bookmarkEnd w:id="0"/>
    </w:p>
    <w:p>
      <w:pPr>
        <w:pStyle w:val="Style9"/>
        <w:keepNext w:val="0"/>
        <w:keepLines w:val="0"/>
        <w:widowControl w:val="0"/>
        <w:shd w:val="clear" w:color="auto" w:fill="auto"/>
        <w:bidi w:val="0"/>
        <w:spacing w:before="0" w:after="240" w:line="240" w:lineRule="auto"/>
        <w:ind w:left="0" w:right="0" w:firstLine="0"/>
        <w:jc w:val="center"/>
      </w:pPr>
      <w:r>
        <w:rPr>
          <w:rStyle w:val="CharStyle10"/>
          <w:b/>
          <w:bCs/>
        </w:rPr>
        <w:t>УСТАНОВИЛА: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Московское УФАС России поступила жалоба Заявителя на действия Заказчика при проведении запроса котировок.</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заседание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результате рассмотрения жалобы, рассмотрев представленные документы и сведения,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Заявитель обжалует действия Заказчика, выразившиеся в утверждении положений извещения в нарушение законодательства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составе жалобы Заявитель указывает, что установленные Заказчиком требования к характеристикам необходимого к поставке изделия «Генератор ультразвуковой хирургической системы» ограничивают круг участников закупки, поскольку совокупности не соответствует ни один товар.</w:t>
      </w:r>
    </w:p>
    <w:p>
      <w:pPr>
        <w:pStyle w:val="Style9"/>
        <w:keepNext w:val="0"/>
        <w:keepLines w:val="0"/>
        <w:widowControl w:val="0"/>
        <w:shd w:val="clear" w:color="auto" w:fill="auto"/>
        <w:tabs>
          <w:tab w:pos="5520" w:val="left"/>
        </w:tabs>
        <w:bidi w:val="0"/>
        <w:spacing w:before="0" w:after="0" w:line="240" w:lineRule="auto"/>
        <w:ind w:left="0" w:right="0" w:firstLine="700"/>
        <w:jc w:val="both"/>
      </w:pPr>
      <w:r>
        <w:rPr>
          <w:rStyle w:val="CharStyle10"/>
        </w:rPr>
        <w:t xml:space="preserve">В частности Заявитель указывает, что, например, изделие «Генератор ультразвуковой электрохирургический биполярный </w:t>
      </w:r>
      <w:r>
        <w:rPr>
          <w:rStyle w:val="CharStyle10"/>
          <w:lang w:val="en-US" w:eastAsia="en-US"/>
        </w:rPr>
        <w:t xml:space="preserve">USG-410 </w:t>
      </w:r>
      <w:r>
        <w:rPr>
          <w:rStyle w:val="CharStyle10"/>
        </w:rPr>
        <w:t xml:space="preserve">с принадлежностями» производства компании «Олимпас Медикал Системс Корп.» не соответствует требованиям «Выходная мощность (ультразвуковой режим): </w:t>
      </w:r>
      <w:r>
        <w:rPr>
          <w:rStyle w:val="CharStyle10"/>
          <w:lang w:val="en-US" w:eastAsia="en-US"/>
        </w:rPr>
        <w:t xml:space="preserve">≥ 35 </w:t>
      </w:r>
      <w:r>
        <w:rPr>
          <w:rStyle w:val="CharStyle10"/>
        </w:rPr>
        <w:t xml:space="preserve">Ватт», «Выходная мощность (биполярный режим): </w:t>
      </w:r>
      <w:r>
        <w:rPr>
          <w:rStyle w:val="CharStyle10"/>
          <w:lang w:val="en-US" w:eastAsia="en-US"/>
        </w:rPr>
        <w:t>≥</w:t>
        <w:tab/>
        <w:t xml:space="preserve">135 </w:t>
      </w:r>
      <w:r>
        <w:rPr>
          <w:rStyle w:val="CharStyle10"/>
        </w:rPr>
        <w:t>Ватт», изделие «Генератор</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электрохирургический, ультразвуковой </w:t>
      </w:r>
      <w:r>
        <w:rPr>
          <w:rStyle w:val="CharStyle10"/>
          <w:lang w:val="en-US" w:eastAsia="en-US"/>
        </w:rPr>
        <w:t xml:space="preserve">G11, </w:t>
      </w:r>
      <w:r>
        <w:rPr>
          <w:rStyle w:val="CharStyle10"/>
        </w:rPr>
        <w:t xml:space="preserve">с принадлежностями», производства компании «Этикон Эндо-Серджери, Эл-Эл-Си», не соответствует требованиям «Инструмент с фронтальной рукояткой: </w:t>
      </w:r>
      <w:r>
        <w:rPr>
          <w:rStyle w:val="CharStyle10"/>
          <w:lang w:val="en-US" w:eastAsia="en-US"/>
        </w:rPr>
        <w:t xml:space="preserve">≥ </w:t>
      </w:r>
      <w:r>
        <w:rPr>
          <w:rStyle w:val="CharStyle10"/>
        </w:rPr>
        <w:t xml:space="preserve">1Штука», «Рабочая частота: </w:t>
      </w:r>
      <w:r>
        <w:rPr>
          <w:rStyle w:val="CharStyle10"/>
          <w:lang w:val="en-US" w:eastAsia="en-US"/>
        </w:rPr>
        <w:t xml:space="preserve">47 </w:t>
      </w:r>
      <w:r>
        <w:rPr>
          <w:rStyle w:val="CharStyle10"/>
        </w:rPr>
        <w:t xml:space="preserve">Килогерц», «Генератор ультразвуковой биполярный: </w:t>
      </w:r>
      <w:r>
        <w:rPr>
          <w:rStyle w:val="CharStyle10"/>
          <w:lang w:val="en-US" w:eastAsia="en-US"/>
        </w:rPr>
        <w:t xml:space="preserve">≥ 1 </w:t>
      </w:r>
      <w:r>
        <w:rPr>
          <w:rStyle w:val="CharStyle10"/>
        </w:rPr>
        <w:t>Штука».</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9"/>
        <w:keepNext w:val="0"/>
        <w:keepLines w:val="0"/>
        <w:widowControl w:val="0"/>
        <w:numPr>
          <w:ilvl w:val="0"/>
          <w:numId w:val="1"/>
        </w:numPr>
        <w:shd w:val="clear" w:color="auto" w:fill="auto"/>
        <w:tabs>
          <w:tab w:pos="1406" w:val="left"/>
        </w:tabs>
        <w:bidi w:val="0"/>
        <w:spacing w:before="0" w:after="0" w:line="240" w:lineRule="auto"/>
        <w:ind w:left="0" w:right="0" w:firstLine="700"/>
        <w:jc w:val="both"/>
      </w:pPr>
      <w:r>
        <w:rPr>
          <w:rStyle w:val="CharStyle10"/>
        </w:rPr>
        <w:t>сопровождение такого указания словами «или эквивалент»;</w:t>
      </w:r>
    </w:p>
    <w:p>
      <w:pPr>
        <w:pStyle w:val="Style9"/>
        <w:keepNext w:val="0"/>
        <w:keepLines w:val="0"/>
        <w:widowControl w:val="0"/>
        <w:numPr>
          <w:ilvl w:val="0"/>
          <w:numId w:val="1"/>
        </w:numPr>
        <w:shd w:val="clear" w:color="auto" w:fill="auto"/>
        <w:tabs>
          <w:tab w:pos="1421" w:val="left"/>
        </w:tabs>
        <w:bidi w:val="0"/>
        <w:spacing w:before="0" w:after="0" w:line="240" w:lineRule="auto"/>
        <w:ind w:left="0" w:right="0" w:firstLine="700"/>
        <w:jc w:val="both"/>
      </w:pPr>
      <w:r>
        <w:rPr>
          <w:rStyle w:val="CharStyle10"/>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9"/>
        <w:keepNext w:val="0"/>
        <w:keepLines w:val="0"/>
        <w:widowControl w:val="0"/>
        <w:numPr>
          <w:ilvl w:val="0"/>
          <w:numId w:val="1"/>
        </w:numPr>
        <w:shd w:val="clear" w:color="auto" w:fill="auto"/>
        <w:tabs>
          <w:tab w:pos="1421" w:val="left"/>
        </w:tabs>
        <w:bidi w:val="0"/>
        <w:spacing w:before="0" w:after="120" w:line="240" w:lineRule="auto"/>
        <w:ind w:left="0" w:right="0" w:firstLine="700"/>
        <w:jc w:val="both"/>
        <w:sectPr>
          <w:footnotePr>
            <w:pos w:val="pageBottom"/>
            <w:numFmt w:val="decimal"/>
            <w:numRestart w:val="continuous"/>
          </w:footnotePr>
          <w:type w:val="continuous"/>
          <w:pgSz w:w="11900" w:h="16840"/>
          <w:pgMar w:top="416" w:right="540" w:bottom="694" w:left="1103" w:header="0" w:footer="3" w:gutter="0"/>
          <w:cols w:space="720"/>
          <w:noEndnote/>
          <w:rtlGutter w:val="0"/>
          <w:docGrid w:linePitch="360"/>
        </w:sectPr>
      </w:pPr>
      <w:r>
        <w:rPr>
          <w:rStyle w:val="CharStyle10"/>
        </w:rPr>
        <w:t>осуществление закупки запасных частей и расходных материалов к машинам и оборудованию, используемым заказчиком, в соответствии с технической</w:t>
      </w:r>
    </w:p>
    <w:p>
      <w:pPr>
        <w:pStyle w:val="Style9"/>
        <w:keepNext w:val="0"/>
        <w:keepLines w:val="0"/>
        <w:widowControl w:val="0"/>
        <w:shd w:val="clear" w:color="auto" w:fill="auto"/>
        <w:bidi w:val="0"/>
        <w:spacing w:before="0" w:after="0" w:line="240" w:lineRule="auto"/>
        <w:ind w:left="0" w:right="0" w:firstLine="0"/>
        <w:jc w:val="both"/>
      </w:pPr>
      <w:r>
        <w:rPr>
          <w:rStyle w:val="CharStyle10"/>
        </w:rPr>
        <w:t>документацией на указанные машины и оборудование;</w:t>
      </w:r>
    </w:p>
    <w:p>
      <w:pPr>
        <w:pStyle w:val="Style9"/>
        <w:keepNext w:val="0"/>
        <w:keepLines w:val="0"/>
        <w:widowControl w:val="0"/>
        <w:numPr>
          <w:ilvl w:val="0"/>
          <w:numId w:val="1"/>
        </w:numPr>
        <w:shd w:val="clear" w:color="auto" w:fill="auto"/>
        <w:tabs>
          <w:tab w:pos="1403" w:val="left"/>
        </w:tabs>
        <w:bidi w:val="0"/>
        <w:spacing w:before="0" w:after="0" w:line="240" w:lineRule="auto"/>
        <w:ind w:left="0" w:right="0" w:firstLine="740"/>
        <w:jc w:val="both"/>
      </w:pPr>
      <w:r>
        <w:rPr>
          <w:rStyle w:val="CharStyle10"/>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40"/>
        <w:jc w:val="both"/>
      </w:pPr>
      <w:r>
        <w:rPr>
          <w:rStyle w:val="CharStyle10"/>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40"/>
        <w:jc w:val="both"/>
      </w:pPr>
      <w:r>
        <w:rPr>
          <w:rStyle w:val="CharStyle10"/>
        </w:rPr>
        <w:t>Комиссией Управления установлено, что, согласно извещению об осуществлении закупки, заказчиком закупается изделие «Генератор ультразвуковой хирургической системы», при этом Заказчиком установлены в том числе следующие требования к закупаемому изделию:</w:t>
      </w:r>
    </w:p>
    <w:p>
      <w:pPr>
        <w:pStyle w:val="Style9"/>
        <w:keepNext w:val="0"/>
        <w:keepLines w:val="0"/>
        <w:widowControl w:val="0"/>
        <w:numPr>
          <w:ilvl w:val="0"/>
          <w:numId w:val="3"/>
        </w:numPr>
        <w:shd w:val="clear" w:color="auto" w:fill="auto"/>
        <w:tabs>
          <w:tab w:pos="1431" w:val="left"/>
        </w:tabs>
        <w:bidi w:val="0"/>
        <w:spacing w:before="0" w:after="0" w:line="240" w:lineRule="auto"/>
        <w:ind w:left="0" w:right="0" w:firstLine="740"/>
        <w:jc w:val="both"/>
      </w:pPr>
      <w:r>
        <w:rPr>
          <w:rStyle w:val="CharStyle10"/>
        </w:rPr>
        <w:t xml:space="preserve">«Выходная мощность (ультразвуковой режим): </w:t>
      </w:r>
      <w:r>
        <w:rPr>
          <w:rStyle w:val="CharStyle10"/>
          <w:lang w:val="en-US" w:eastAsia="en-US"/>
        </w:rPr>
        <w:t xml:space="preserve">≥ 35 </w:t>
      </w:r>
      <w:r>
        <w:rPr>
          <w:rStyle w:val="CharStyle10"/>
        </w:rPr>
        <w:t>Ватт»;</w:t>
      </w:r>
    </w:p>
    <w:p>
      <w:pPr>
        <w:pStyle w:val="Style9"/>
        <w:keepNext w:val="0"/>
        <w:keepLines w:val="0"/>
        <w:widowControl w:val="0"/>
        <w:numPr>
          <w:ilvl w:val="0"/>
          <w:numId w:val="3"/>
        </w:numPr>
        <w:shd w:val="clear" w:color="auto" w:fill="auto"/>
        <w:tabs>
          <w:tab w:pos="1431" w:val="left"/>
        </w:tabs>
        <w:bidi w:val="0"/>
        <w:spacing w:before="0" w:after="0" w:line="240" w:lineRule="auto"/>
        <w:ind w:left="0" w:right="0" w:firstLine="740"/>
        <w:jc w:val="both"/>
      </w:pPr>
      <w:r>
        <w:rPr>
          <w:rStyle w:val="CharStyle10"/>
        </w:rPr>
        <w:t xml:space="preserve">«Выходная мощность (биполярный режим): </w:t>
      </w:r>
      <w:r>
        <w:rPr>
          <w:rStyle w:val="CharStyle10"/>
          <w:lang w:val="en-US" w:eastAsia="en-US"/>
        </w:rPr>
        <w:t xml:space="preserve">≥ 135 </w:t>
      </w:r>
      <w:r>
        <w:rPr>
          <w:rStyle w:val="CharStyle10"/>
        </w:rPr>
        <w:t>Ватт»;</w:t>
      </w:r>
    </w:p>
    <w:p>
      <w:pPr>
        <w:pStyle w:val="Style9"/>
        <w:keepNext w:val="0"/>
        <w:keepLines w:val="0"/>
        <w:widowControl w:val="0"/>
        <w:numPr>
          <w:ilvl w:val="0"/>
          <w:numId w:val="3"/>
        </w:numPr>
        <w:shd w:val="clear" w:color="auto" w:fill="auto"/>
        <w:tabs>
          <w:tab w:pos="1431" w:val="left"/>
        </w:tabs>
        <w:bidi w:val="0"/>
        <w:spacing w:before="0" w:after="0" w:line="240" w:lineRule="auto"/>
        <w:ind w:left="0" w:right="0" w:firstLine="740"/>
        <w:jc w:val="both"/>
      </w:pPr>
      <w:r>
        <w:rPr>
          <w:rStyle w:val="CharStyle10"/>
        </w:rPr>
        <w:t xml:space="preserve">«Инструмент с фронтальной рукояткой: </w:t>
      </w:r>
      <w:r>
        <w:rPr>
          <w:rStyle w:val="CharStyle10"/>
          <w:lang w:val="en-US" w:eastAsia="en-US"/>
        </w:rPr>
        <w:t xml:space="preserve">≥ </w:t>
      </w:r>
      <w:r>
        <w:rPr>
          <w:rStyle w:val="CharStyle10"/>
        </w:rPr>
        <w:t>1Штука»;</w:t>
      </w:r>
    </w:p>
    <w:p>
      <w:pPr>
        <w:pStyle w:val="Style9"/>
        <w:keepNext w:val="0"/>
        <w:keepLines w:val="0"/>
        <w:widowControl w:val="0"/>
        <w:numPr>
          <w:ilvl w:val="0"/>
          <w:numId w:val="3"/>
        </w:numPr>
        <w:shd w:val="clear" w:color="auto" w:fill="auto"/>
        <w:tabs>
          <w:tab w:pos="1431" w:val="left"/>
        </w:tabs>
        <w:bidi w:val="0"/>
        <w:spacing w:before="0" w:after="0" w:line="240" w:lineRule="auto"/>
        <w:ind w:left="0" w:right="0" w:firstLine="740"/>
        <w:jc w:val="both"/>
      </w:pPr>
      <w:r>
        <w:rPr>
          <w:rStyle w:val="CharStyle10"/>
        </w:rPr>
        <w:t xml:space="preserve">«Рабочая частота: </w:t>
      </w:r>
      <w:r>
        <w:rPr>
          <w:rStyle w:val="CharStyle10"/>
          <w:lang w:val="en-US" w:eastAsia="en-US"/>
        </w:rPr>
        <w:t xml:space="preserve">47 </w:t>
      </w:r>
      <w:r>
        <w:rPr>
          <w:rStyle w:val="CharStyle10"/>
        </w:rPr>
        <w:t>Килогерц»;</w:t>
      </w:r>
    </w:p>
    <w:p>
      <w:pPr>
        <w:pStyle w:val="Style9"/>
        <w:keepNext w:val="0"/>
        <w:keepLines w:val="0"/>
        <w:widowControl w:val="0"/>
        <w:numPr>
          <w:ilvl w:val="0"/>
          <w:numId w:val="3"/>
        </w:numPr>
        <w:shd w:val="clear" w:color="auto" w:fill="auto"/>
        <w:tabs>
          <w:tab w:pos="1431" w:val="left"/>
        </w:tabs>
        <w:bidi w:val="0"/>
        <w:spacing w:before="0" w:after="0" w:line="240" w:lineRule="auto"/>
        <w:ind w:left="0" w:right="0" w:firstLine="740"/>
        <w:jc w:val="both"/>
      </w:pPr>
      <w:r>
        <w:rPr>
          <w:rStyle w:val="CharStyle10"/>
        </w:rPr>
        <w:t xml:space="preserve">«Генератор ультразвуковой биполярный: </w:t>
      </w:r>
      <w:r>
        <w:rPr>
          <w:rStyle w:val="CharStyle10"/>
          <w:lang w:val="en-US" w:eastAsia="en-US"/>
        </w:rPr>
        <w:t xml:space="preserve">≥ 1 </w:t>
      </w:r>
      <w:r>
        <w:rPr>
          <w:rStyle w:val="CharStyle10"/>
        </w:rPr>
        <w:t>Штука».</w:t>
      </w:r>
    </w:p>
    <w:p>
      <w:pPr>
        <w:pStyle w:val="Style9"/>
        <w:keepNext w:val="0"/>
        <w:keepLines w:val="0"/>
        <w:widowControl w:val="0"/>
        <w:shd w:val="clear" w:color="auto" w:fill="auto"/>
        <w:bidi w:val="0"/>
        <w:spacing w:before="0" w:after="0" w:line="240" w:lineRule="auto"/>
        <w:ind w:left="0" w:right="0" w:firstLine="740"/>
        <w:jc w:val="both"/>
      </w:pPr>
      <w:r>
        <w:rPr>
          <w:rStyle w:val="CharStyle10"/>
        </w:rPr>
        <w:t xml:space="preserve">Согласно ч. </w:t>
      </w:r>
      <w:r>
        <w:rPr>
          <w:rStyle w:val="CharStyle10"/>
          <w:lang w:val="en-US" w:eastAsia="en-US"/>
        </w:rPr>
        <w:t xml:space="preserve">1 </w:t>
      </w:r>
      <w:r>
        <w:rPr>
          <w:rStyle w:val="CharStyle10"/>
        </w:rPr>
        <w:t xml:space="preserve">ст. </w:t>
      </w:r>
      <w:r>
        <w:rPr>
          <w:rStyle w:val="CharStyle10"/>
          <w:lang w:val="en-US" w:eastAsia="en-US"/>
        </w:rPr>
        <w:t xml:space="preserve">106 </w:t>
      </w:r>
      <w:r>
        <w:rPr>
          <w:rStyle w:val="CharStyle10"/>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40"/>
        <w:jc w:val="both"/>
      </w:pPr>
      <w:r>
        <w:rPr>
          <w:rStyle w:val="CharStyle10"/>
        </w:rPr>
        <w:t>На заседании Комиссии Управления представитель Заказчика пояснении, что требования к закупаемому изделию установлены в соответствии с потребностью учреждения, при этом, вопреки доводам жалобы, совокупности требований извещения соответствуют изделия нескольких производителей, в частности:</w:t>
      </w:r>
    </w:p>
    <w:p>
      <w:pPr>
        <w:pStyle w:val="Style9"/>
        <w:keepNext w:val="0"/>
        <w:keepLines w:val="0"/>
        <w:widowControl w:val="0"/>
        <w:numPr>
          <w:ilvl w:val="0"/>
          <w:numId w:val="3"/>
        </w:numPr>
        <w:shd w:val="clear" w:color="auto" w:fill="auto"/>
        <w:tabs>
          <w:tab w:pos="1403" w:val="left"/>
        </w:tabs>
        <w:bidi w:val="0"/>
        <w:spacing w:before="0" w:after="0" w:line="240" w:lineRule="auto"/>
        <w:ind w:left="0" w:right="0" w:firstLine="740"/>
        <w:jc w:val="both"/>
      </w:pPr>
      <w:r>
        <w:rPr>
          <w:rStyle w:val="CharStyle10"/>
        </w:rPr>
        <w:t xml:space="preserve">изделие «Генератор электрохирургический, ультразвуковой </w:t>
      </w:r>
      <w:r>
        <w:rPr>
          <w:rStyle w:val="CharStyle10"/>
          <w:lang w:val="en-US" w:eastAsia="en-US"/>
        </w:rPr>
        <w:t xml:space="preserve">G11, </w:t>
      </w:r>
      <w:r>
        <w:rPr>
          <w:rStyle w:val="CharStyle10"/>
        </w:rPr>
        <w:t xml:space="preserve">с принадлежностями», производства компании «Этикон Эндо-Серджери, Эл-Эл-Си» (регистрационное удостоверение №ФСЗ </w:t>
      </w:r>
      <w:r>
        <w:rPr>
          <w:rStyle w:val="CharStyle10"/>
          <w:lang w:val="en-US" w:eastAsia="en-US"/>
        </w:rPr>
        <w:t xml:space="preserve">2012/11599 </w:t>
      </w:r>
      <w:r>
        <w:rPr>
          <w:rStyle w:val="CharStyle10"/>
        </w:rPr>
        <w:t xml:space="preserve">от </w:t>
      </w:r>
      <w:r>
        <w:rPr>
          <w:rStyle w:val="CharStyle10"/>
          <w:lang w:val="en-US" w:eastAsia="en-US"/>
        </w:rPr>
        <w:t>27.05.2024);</w:t>
      </w:r>
    </w:p>
    <w:p>
      <w:pPr>
        <w:pStyle w:val="Style9"/>
        <w:keepNext w:val="0"/>
        <w:keepLines w:val="0"/>
        <w:widowControl w:val="0"/>
        <w:numPr>
          <w:ilvl w:val="0"/>
          <w:numId w:val="3"/>
        </w:numPr>
        <w:shd w:val="clear" w:color="auto" w:fill="auto"/>
        <w:tabs>
          <w:tab w:pos="1403" w:val="left"/>
        </w:tabs>
        <w:bidi w:val="0"/>
        <w:spacing w:before="0" w:after="0" w:line="240" w:lineRule="auto"/>
        <w:ind w:left="0" w:right="0" w:firstLine="740"/>
        <w:jc w:val="both"/>
      </w:pPr>
      <w:r>
        <w:rPr>
          <w:rStyle w:val="CharStyle10"/>
        </w:rPr>
        <w:t xml:space="preserve">изделие «Генератор ультразвуковой электрохирургический биполярный </w:t>
      </w:r>
      <w:r>
        <w:rPr>
          <w:rStyle w:val="CharStyle10"/>
          <w:lang w:val="en-US" w:eastAsia="en-US"/>
        </w:rPr>
        <w:t xml:space="preserve">USG-410 </w:t>
      </w:r>
      <w:r>
        <w:rPr>
          <w:rStyle w:val="CharStyle10"/>
        </w:rPr>
        <w:t xml:space="preserve">с принадлежностями», производства компании «Олимпас Медикал Системс Корп» (регистрационное удостоверение №РЗН </w:t>
      </w:r>
      <w:r>
        <w:rPr>
          <w:rStyle w:val="CharStyle10"/>
          <w:lang w:val="en-US" w:eastAsia="en-US"/>
        </w:rPr>
        <w:t xml:space="preserve">2022/18241 </w:t>
      </w:r>
      <w:r>
        <w:rPr>
          <w:rStyle w:val="CharStyle10"/>
        </w:rPr>
        <w:t xml:space="preserve">от </w:t>
      </w:r>
      <w:r>
        <w:rPr>
          <w:rStyle w:val="CharStyle10"/>
          <w:lang w:val="en-US" w:eastAsia="en-US"/>
        </w:rPr>
        <w:t>14.09.2022).</w:t>
      </w:r>
    </w:p>
    <w:p>
      <w:pPr>
        <w:pStyle w:val="Style9"/>
        <w:keepNext w:val="0"/>
        <w:keepLines w:val="0"/>
        <w:widowControl w:val="0"/>
        <w:shd w:val="clear" w:color="auto" w:fill="auto"/>
        <w:bidi w:val="0"/>
        <w:spacing w:before="0" w:after="0" w:line="240" w:lineRule="auto"/>
        <w:ind w:left="0" w:right="0" w:firstLine="740"/>
        <w:jc w:val="both"/>
      </w:pPr>
      <w:r>
        <w:rPr>
          <w:rStyle w:val="CharStyle10"/>
        </w:rPr>
        <w:t>В обоснование своей позиции представитель Заказчика представил, в том числе, коммерческие предложения, полученные Заказчиком на этапе формирования начальной (максимальной) цены контракта.</w:t>
      </w:r>
    </w:p>
    <w:p>
      <w:pPr>
        <w:pStyle w:val="Style9"/>
        <w:keepNext w:val="0"/>
        <w:keepLines w:val="0"/>
        <w:widowControl w:val="0"/>
        <w:shd w:val="clear" w:color="auto" w:fill="auto"/>
        <w:bidi w:val="0"/>
        <w:spacing w:before="0" w:after="0" w:line="240" w:lineRule="auto"/>
        <w:ind w:left="0" w:right="0" w:firstLine="740"/>
        <w:jc w:val="both"/>
      </w:pPr>
      <w:r>
        <w:rPr>
          <w:rStyle w:val="CharStyle10"/>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90" w:lineRule="auto"/>
        <w:ind w:left="0" w:right="0" w:firstLine="740"/>
        <w:jc w:val="both"/>
        <w:rPr>
          <w:sz w:val="24"/>
          <w:szCs w:val="24"/>
        </w:rPr>
        <w:sectPr>
          <w:footnotePr>
            <w:pos w:val="pageBottom"/>
            <w:numFmt w:val="decimal"/>
            <w:numRestart w:val="continuous"/>
          </w:footnotePr>
          <w:pgSz w:w="11900" w:h="16840"/>
          <w:pgMar w:top="1162" w:right="545" w:bottom="658" w:left="1101" w:header="0" w:footer="3" w:gutter="0"/>
          <w:cols w:space="720"/>
          <w:noEndnote/>
          <w:rtlGutter w:val="0"/>
          <w:docGrid w:linePitch="360"/>
        </w:sectPr>
      </w:pPr>
      <w:r>
        <w:rPr>
          <w:rStyle w:val="CharStyle10"/>
        </w:rPr>
        <w:t xml:space="preserve">На заседании Комиссии Управления представитель Заявителя не согласился с с пояснениями представителя Заказчика и указал, что вышеуказанные указанные </w:t>
      </w:r>
      <w:r>
        <w:rPr>
          <w:rStyle w:val="CharStyle10"/>
          <w:sz w:val="24"/>
          <w:szCs w:val="24"/>
          <w:lang w:val="en-US" w:eastAsia="en-US"/>
        </w:rPr>
        <w:t>2026-24597</w:t>
      </w:r>
    </w:p>
    <w:p>
      <w:pPr>
        <w:pStyle w:val="Style9"/>
        <w:keepNext w:val="0"/>
        <w:keepLines w:val="0"/>
        <w:widowControl w:val="0"/>
        <w:shd w:val="clear" w:color="auto" w:fill="auto"/>
        <w:bidi w:val="0"/>
        <w:spacing w:before="0" w:after="0" w:line="240" w:lineRule="auto"/>
        <w:ind w:left="0" w:right="0" w:firstLine="0"/>
        <w:jc w:val="both"/>
      </w:pPr>
      <w:r>
        <w:rPr>
          <w:rStyle w:val="CharStyle10"/>
        </w:rPr>
        <w:t>изделия не соответствуют требованиям извещения по характеристикам, указанным в составе жалобы.</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В обоснование своей позиции представитель Заявителя указал, что показатели указанные в составе жалобы относительно продукции «Генератор ультразвуковой электрохирургический биполярный </w:t>
      </w:r>
      <w:r>
        <w:rPr>
          <w:rStyle w:val="CharStyle10"/>
          <w:lang w:val="en-US" w:eastAsia="en-US"/>
        </w:rPr>
        <w:t xml:space="preserve">USG-410 </w:t>
      </w:r>
      <w:r>
        <w:rPr>
          <w:rStyle w:val="CharStyle10"/>
        </w:rPr>
        <w:t xml:space="preserve">с принадлежностями», производства компании «Олимпас Медикал Системс Корп» представлены Заявителем в составе жалобы на основании сведений государственных контрактов. В то же время продукция «Генератор электрохирургический, ультразвуковой </w:t>
      </w:r>
      <w:r>
        <w:rPr>
          <w:rStyle w:val="CharStyle10"/>
          <w:lang w:val="en-US" w:eastAsia="en-US"/>
        </w:rPr>
        <w:t xml:space="preserve">G11, </w:t>
      </w:r>
      <w:r>
        <w:rPr>
          <w:rStyle w:val="CharStyle10"/>
        </w:rPr>
        <w:t>с принадлежностями», производства компании «Этикон Эндо-Серджери, Эл-Эл-Си» противоречит положениям извещения на основании данных эксплуатационной документации на вышеуказанное медицинское изделие.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Вместе с этим Комиссия Управления отмечает следующее.</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В силу ч.4 ст.38 Федерального закона «Об основах охраны здоровья граждан в Российской Федерации» от </w:t>
      </w:r>
      <w:r>
        <w:rPr>
          <w:rStyle w:val="CharStyle10"/>
          <w:lang w:val="en-US" w:eastAsia="en-US"/>
        </w:rPr>
        <w:t xml:space="preserve">21.11.2011 </w:t>
      </w:r>
      <w:r>
        <w:rPr>
          <w:rStyle w:val="CharStyle10"/>
        </w:rPr>
        <w:t xml:space="preserve">№323-ФЗ (далее </w:t>
      </w:r>
      <w:r>
        <w:rPr>
          <w:rStyle w:val="CharStyle10"/>
          <w:lang w:val="en-US" w:eastAsia="en-US"/>
        </w:rPr>
        <w:t xml:space="preserve">— </w:t>
      </w:r>
      <w:r>
        <w:rPr>
          <w:rStyle w:val="CharStyle10"/>
        </w:rPr>
        <w:t>Закон об основах охраны здоровья граждан),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П.1 Постановления Правительства РФ от </w:t>
      </w:r>
      <w:r>
        <w:rPr>
          <w:rStyle w:val="CharStyle10"/>
          <w:lang w:val="en-US" w:eastAsia="en-US"/>
        </w:rPr>
        <w:t xml:space="preserve">30.11.2024 №1684 </w:t>
      </w:r>
      <w:r>
        <w:rPr>
          <w:rStyle w:val="CharStyle10"/>
        </w:rPr>
        <w:t xml:space="preserve">«Об утверждении Правил государственной регистрации медицинских изделий» (далее </w:t>
      </w:r>
      <w:r>
        <w:rPr>
          <w:rStyle w:val="CharStyle10"/>
          <w:lang w:val="en-US" w:eastAsia="en-US"/>
        </w:rPr>
        <w:t xml:space="preserve">— </w:t>
      </w:r>
      <w:r>
        <w:rPr>
          <w:rStyle w:val="CharStyle10"/>
        </w:rPr>
        <w:t xml:space="preserve">Постановление </w:t>
      </w:r>
      <w:r>
        <w:rPr>
          <w:rStyle w:val="CharStyle10"/>
          <w:lang w:val="en-US" w:eastAsia="en-US"/>
        </w:rPr>
        <w:t xml:space="preserve">№1684) </w:t>
      </w:r>
      <w:r>
        <w:rPr>
          <w:rStyle w:val="CharStyle10"/>
        </w:rPr>
        <w:t xml:space="preserve">утверждены Правила государственной регистрации медицинских изделий (далее </w:t>
      </w:r>
      <w:r>
        <w:rPr>
          <w:rStyle w:val="CharStyle10"/>
          <w:lang w:val="en-US" w:eastAsia="en-US"/>
        </w:rPr>
        <w:t xml:space="preserve">— </w:t>
      </w:r>
      <w:r>
        <w:rPr>
          <w:rStyle w:val="CharStyle10"/>
        </w:rPr>
        <w:t>Правила).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Согласно п.25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w:t>
      </w:r>
      <w:r>
        <w:rPr>
          <w:rStyle w:val="CharStyle10"/>
          <w:lang w:val="en-US" w:eastAsia="en-US"/>
        </w:rPr>
        <w:t xml:space="preserve">- </w:t>
      </w:r>
      <w:r>
        <w:rPr>
          <w:rStyle w:val="CharStyle10"/>
        </w:rPr>
        <w:t>реестровая запись).</w:t>
      </w:r>
    </w:p>
    <w:p>
      <w:pPr>
        <w:pStyle w:val="Style9"/>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pgSz w:w="11900" w:h="16840"/>
          <w:pgMar w:top="1162" w:right="550" w:bottom="1162" w:left="1101" w:header="0" w:footer="3" w:gutter="0"/>
          <w:cols w:space="720"/>
          <w:noEndnote/>
          <w:rtlGutter w:val="0"/>
          <w:docGrid w:linePitch="360"/>
        </w:sectPr>
      </w:pPr>
      <w:r>
        <w:rPr>
          <w:rStyle w:val="CharStyle10"/>
        </w:rPr>
        <w:t xml:space="preserve">Вместе с этим п.2 Постановления </w:t>
      </w:r>
      <w:r>
        <w:rPr>
          <w:rStyle w:val="CharStyle10"/>
          <w:lang w:val="en-US" w:eastAsia="en-US"/>
        </w:rPr>
        <w:t xml:space="preserve">№1684 </w:t>
      </w:r>
      <w:r>
        <w:rPr>
          <w:rStyle w:val="CharStyle10"/>
        </w:rPr>
        <w:t>определено, что государственная</w:t>
      </w:r>
    </w:p>
    <w:p>
      <w:pPr>
        <w:pStyle w:val="Style9"/>
        <w:keepNext w:val="0"/>
        <w:keepLines w:val="0"/>
        <w:widowControl w:val="0"/>
        <w:shd w:val="clear" w:color="auto" w:fill="auto"/>
        <w:bidi w:val="0"/>
        <w:spacing w:before="0" w:after="0" w:line="252" w:lineRule="auto"/>
        <w:ind w:left="0" w:right="0" w:firstLine="0"/>
        <w:jc w:val="both"/>
      </w:pPr>
      <w:r>
        <w:rPr>
          <w:rStyle w:val="CharStyle10"/>
        </w:rPr>
        <w:t xml:space="preserve">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w:t>
      </w:r>
      <w:r>
        <w:rPr>
          <w:rStyle w:val="CharStyle10"/>
          <w:lang w:val="en-US" w:eastAsia="en-US"/>
        </w:rPr>
        <w:t>№1684.</w:t>
      </w:r>
    </w:p>
    <w:p>
      <w:pPr>
        <w:pStyle w:val="Style9"/>
        <w:keepNext w:val="0"/>
        <w:keepLines w:val="0"/>
        <w:widowControl w:val="0"/>
        <w:shd w:val="clear" w:color="auto" w:fill="auto"/>
        <w:bidi w:val="0"/>
        <w:spacing w:before="0" w:after="0" w:line="252" w:lineRule="auto"/>
        <w:ind w:left="0" w:right="0" w:firstLine="700"/>
        <w:jc w:val="both"/>
      </w:pPr>
      <w:r>
        <w:rPr>
          <w:rStyle w:val="CharStyle10"/>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w:t>
      </w:r>
      <w:r>
        <w:rPr>
          <w:rStyle w:val="CharStyle10"/>
          <w:lang w:val="en-US" w:eastAsia="en-US"/>
        </w:rPr>
        <w:t xml:space="preserve">№1684, </w:t>
      </w:r>
      <w:r>
        <w:rPr>
          <w:rStyle w:val="CharStyle10"/>
        </w:rPr>
        <w:t>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9"/>
        <w:keepNext w:val="0"/>
        <w:keepLines w:val="0"/>
        <w:widowControl w:val="0"/>
        <w:shd w:val="clear" w:color="auto" w:fill="auto"/>
        <w:bidi w:val="0"/>
        <w:spacing w:before="0" w:after="0" w:line="252" w:lineRule="auto"/>
        <w:ind w:left="0" w:right="0" w:firstLine="700"/>
        <w:jc w:val="both"/>
      </w:pPr>
      <w:r>
        <w:rPr>
          <w:rStyle w:val="CharStyle10"/>
        </w:rPr>
        <w:t xml:space="preserve">Постановлением Правительства Российской Федерации от </w:t>
      </w:r>
      <w:r>
        <w:rPr>
          <w:rStyle w:val="CharStyle10"/>
          <w:lang w:val="en-US" w:eastAsia="en-US"/>
        </w:rPr>
        <w:t xml:space="preserve">27.12.2012 № 1416 </w:t>
      </w:r>
      <w:r>
        <w:rPr>
          <w:rStyle w:val="CharStyle10"/>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10"/>
          <w:lang w:val="en-US" w:eastAsia="en-US"/>
        </w:rPr>
        <w:t xml:space="preserve">— </w:t>
      </w:r>
      <w:r>
        <w:rPr>
          <w:rStyle w:val="CharStyle10"/>
        </w:rPr>
        <w:t xml:space="preserve">Правила от </w:t>
      </w:r>
      <w:r>
        <w:rPr>
          <w:rStyle w:val="CharStyle10"/>
          <w:lang w:val="en-US" w:eastAsia="en-US"/>
        </w:rPr>
        <w:t xml:space="preserve">27.12.2012), </w:t>
      </w:r>
      <w:r>
        <w:rPr>
          <w:rStyle w:val="CharStyle10"/>
        </w:rPr>
        <w:t xml:space="preserve">действующие до дня вступления в силу Постановления </w:t>
      </w:r>
      <w:r>
        <w:rPr>
          <w:rStyle w:val="CharStyle10"/>
          <w:lang w:val="en-US" w:eastAsia="en-US"/>
        </w:rPr>
        <w:t>№1684.</w:t>
      </w:r>
    </w:p>
    <w:p>
      <w:pPr>
        <w:pStyle w:val="Style9"/>
        <w:keepNext w:val="0"/>
        <w:keepLines w:val="0"/>
        <w:widowControl w:val="0"/>
        <w:shd w:val="clear" w:color="auto" w:fill="auto"/>
        <w:bidi w:val="0"/>
        <w:spacing w:before="0" w:after="0" w:line="252" w:lineRule="auto"/>
        <w:ind w:left="0" w:right="0" w:firstLine="700"/>
        <w:jc w:val="both"/>
      </w:pPr>
      <w:r>
        <w:rPr>
          <w:rStyle w:val="CharStyle10"/>
        </w:rPr>
        <w:t xml:space="preserve">П.6 Правил от </w:t>
      </w:r>
      <w:r>
        <w:rPr>
          <w:rStyle w:val="CharStyle10"/>
          <w:lang w:val="en-US" w:eastAsia="en-US"/>
        </w:rPr>
        <w:t xml:space="preserve">27.12.2012 </w:t>
      </w:r>
      <w:r>
        <w:rPr>
          <w:rStyle w:val="CharStyle10"/>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9"/>
        <w:keepNext w:val="0"/>
        <w:keepLines w:val="0"/>
        <w:widowControl w:val="0"/>
        <w:shd w:val="clear" w:color="auto" w:fill="auto"/>
        <w:bidi w:val="0"/>
        <w:spacing w:before="0" w:after="0" w:line="252" w:lineRule="auto"/>
        <w:ind w:left="0" w:right="0" w:firstLine="700"/>
        <w:jc w:val="both"/>
      </w:pPr>
      <w:r>
        <w:rPr>
          <w:rStyle w:val="CharStyle10"/>
        </w:rPr>
        <w:t xml:space="preserve">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 прямо предусмотренных законом, являются сведения о реестровой записи медицинского изделия, а также регистрационное удостоверение, выданное до дня вступления в силу Постановления </w:t>
      </w:r>
      <w:r>
        <w:rPr>
          <w:rStyle w:val="CharStyle10"/>
          <w:lang w:val="en-US" w:eastAsia="en-US"/>
        </w:rPr>
        <w:t xml:space="preserve">№1684, </w:t>
      </w:r>
      <w:r>
        <w:rPr>
          <w:rStyle w:val="CharStyle10"/>
        </w:rPr>
        <w:t xml:space="preserve">в соответствии с Правилами от </w:t>
      </w:r>
      <w:r>
        <w:rPr>
          <w:rStyle w:val="CharStyle10"/>
          <w:lang w:val="en-US" w:eastAsia="en-US"/>
        </w:rPr>
        <w:t>27.12.2012.</w:t>
      </w:r>
    </w:p>
    <w:p>
      <w:pPr>
        <w:pStyle w:val="Style9"/>
        <w:keepNext w:val="0"/>
        <w:keepLines w:val="0"/>
        <w:widowControl w:val="0"/>
        <w:shd w:val="clear" w:color="auto" w:fill="auto"/>
        <w:bidi w:val="0"/>
        <w:spacing w:before="0" w:after="0" w:line="252" w:lineRule="auto"/>
        <w:ind w:left="0" w:right="0" w:firstLine="700"/>
        <w:jc w:val="both"/>
      </w:pPr>
      <w:r>
        <w:rPr>
          <w:rStyle w:val="CharStyle10"/>
        </w:rPr>
        <w:t>П.4 Правил в том числе установлены следующие определения:</w:t>
      </w:r>
    </w:p>
    <w:p>
      <w:pPr>
        <w:pStyle w:val="Style9"/>
        <w:keepNext w:val="0"/>
        <w:keepLines w:val="0"/>
        <w:widowControl w:val="0"/>
        <w:numPr>
          <w:ilvl w:val="0"/>
          <w:numId w:val="5"/>
        </w:numPr>
        <w:shd w:val="clear" w:color="auto" w:fill="auto"/>
        <w:tabs>
          <w:tab w:pos="1426" w:val="left"/>
        </w:tabs>
        <w:bidi w:val="0"/>
        <w:spacing w:before="0" w:after="0" w:line="252" w:lineRule="auto"/>
        <w:ind w:left="0" w:right="0" w:firstLine="700"/>
        <w:jc w:val="both"/>
      </w:pPr>
      <w:r>
        <w:rPr>
          <w:rStyle w:val="CharStyle10"/>
        </w:rPr>
        <w:t xml:space="preserve">«регистрационное досье» </w:t>
      </w:r>
      <w:r>
        <w:rPr>
          <w:rStyle w:val="CharStyle10"/>
          <w:lang w:val="en-US" w:eastAsia="en-US"/>
        </w:rPr>
        <w:t xml:space="preserve">- </w:t>
      </w:r>
      <w:r>
        <w:rPr>
          <w:rStyle w:val="CharStyle10"/>
        </w:rPr>
        <w:t xml:space="preserve">комплект документов, представляемый заявителем для государственной регистрации медицинского изделия, внесения изменений в такие документы, отмены государственной регистрации медицинского изделия, а также копии решений, принятых регистрирующим органом и федеральным государственным бюджетным учреждением, находящимся в ведении регистрирующего органа (далее </w:t>
      </w:r>
      <w:r>
        <w:rPr>
          <w:rStyle w:val="CharStyle10"/>
          <w:lang w:val="en-US" w:eastAsia="en-US"/>
        </w:rPr>
        <w:t xml:space="preserve">- </w:t>
      </w:r>
      <w:r>
        <w:rPr>
          <w:rStyle w:val="CharStyle10"/>
        </w:rPr>
        <w:t>экспертное учреждение), в отношении конкретного медицинского изделия;</w:t>
      </w:r>
    </w:p>
    <w:p>
      <w:pPr>
        <w:pStyle w:val="Style9"/>
        <w:keepNext w:val="0"/>
        <w:keepLines w:val="0"/>
        <w:widowControl w:val="0"/>
        <w:numPr>
          <w:ilvl w:val="0"/>
          <w:numId w:val="5"/>
        </w:numPr>
        <w:shd w:val="clear" w:color="auto" w:fill="auto"/>
        <w:tabs>
          <w:tab w:pos="1426" w:val="left"/>
        </w:tabs>
        <w:bidi w:val="0"/>
        <w:spacing w:before="0" w:after="0" w:line="276" w:lineRule="auto"/>
        <w:ind w:left="0" w:right="0" w:firstLine="700"/>
        <w:jc w:val="both"/>
        <w:rPr>
          <w:sz w:val="24"/>
          <w:szCs w:val="24"/>
        </w:rPr>
      </w:pPr>
      <w:r>
        <w:rPr>
          <w:rStyle w:val="CharStyle10"/>
        </w:rPr>
        <w:t xml:space="preserve">«нормативная документация» </w:t>
      </w:r>
      <w:r>
        <w:rPr>
          <w:rStyle w:val="CharStyle10"/>
          <w:lang w:val="en-US" w:eastAsia="en-US"/>
        </w:rPr>
        <w:t xml:space="preserve">- </w:t>
      </w:r>
      <w:r>
        <w:rPr>
          <w:rStyle w:val="CharStyle10"/>
        </w:rPr>
        <w:t xml:space="preserve">документ, регламентирующий требования безопасности, качества, а также предполагаемую эффективность предусмотренного применения и методы контроля соответствия медицинского изделия этим </w:t>
      </w:r>
      <w:r>
        <w:rPr>
          <w:rStyle w:val="CharStyle10"/>
          <w:sz w:val="24"/>
          <w:szCs w:val="24"/>
          <w:lang w:val="en-US" w:eastAsia="en-US"/>
        </w:rPr>
        <w:t>2026-24597</w:t>
      </w:r>
    </w:p>
    <w:p>
      <w:pPr>
        <w:pStyle w:val="Style9"/>
        <w:keepNext w:val="0"/>
        <w:keepLines w:val="0"/>
        <w:widowControl w:val="0"/>
        <w:shd w:val="clear" w:color="auto" w:fill="auto"/>
        <w:bidi w:val="0"/>
        <w:spacing w:before="0" w:after="0" w:line="254" w:lineRule="auto"/>
        <w:ind w:left="0" w:right="0" w:firstLine="0"/>
        <w:jc w:val="both"/>
      </w:pPr>
      <w:r>
        <w:rPr>
          <w:rStyle w:val="CharStyle10"/>
        </w:rPr>
        <w:t>требованиям. Состав сведений, указываемых в нормативной документации, утверждается регистрирующим органом;</w:t>
      </w:r>
    </w:p>
    <w:p>
      <w:pPr>
        <w:pStyle w:val="Style9"/>
        <w:keepNext w:val="0"/>
        <w:keepLines w:val="0"/>
        <w:widowControl w:val="0"/>
        <w:numPr>
          <w:ilvl w:val="0"/>
          <w:numId w:val="5"/>
        </w:numPr>
        <w:shd w:val="clear" w:color="auto" w:fill="auto"/>
        <w:tabs>
          <w:tab w:pos="1423" w:val="left"/>
        </w:tabs>
        <w:bidi w:val="0"/>
        <w:spacing w:before="0" w:after="0" w:line="254" w:lineRule="auto"/>
        <w:ind w:left="0" w:right="0" w:firstLine="700"/>
        <w:jc w:val="both"/>
      </w:pPr>
      <w:r>
        <w:rPr>
          <w:rStyle w:val="CharStyle10"/>
        </w:rPr>
        <w:t xml:space="preserve">«техническая документация производителя (изготовителя) медицинского изделия» </w:t>
      </w:r>
      <w:r>
        <w:rPr>
          <w:rStyle w:val="CharStyle10"/>
          <w:lang w:val="en-US" w:eastAsia="en-US"/>
        </w:rPr>
        <w:t xml:space="preserve">- </w:t>
      </w:r>
      <w:r>
        <w:rPr>
          <w:rStyle w:val="CharStyle10"/>
        </w:rPr>
        <w:t>документ (документы), регламентирующий конструкцию медицинского изделия, устанавливающий технические требования и содержащий данные для его разработки, производства, применения, эксплуатации, технического обслуживания, ремонта, утилизации или уничтожения;</w:t>
      </w:r>
    </w:p>
    <w:p>
      <w:pPr>
        <w:pStyle w:val="Style9"/>
        <w:keepNext w:val="0"/>
        <w:keepLines w:val="0"/>
        <w:widowControl w:val="0"/>
        <w:numPr>
          <w:ilvl w:val="0"/>
          <w:numId w:val="5"/>
        </w:numPr>
        <w:shd w:val="clear" w:color="auto" w:fill="auto"/>
        <w:tabs>
          <w:tab w:pos="1423" w:val="left"/>
        </w:tabs>
        <w:bidi w:val="0"/>
        <w:spacing w:before="0" w:after="0" w:line="254" w:lineRule="auto"/>
        <w:ind w:left="0" w:right="0" w:firstLine="700"/>
        <w:jc w:val="both"/>
      </w:pPr>
      <w:r>
        <w:rPr>
          <w:rStyle w:val="CharStyle10"/>
        </w:rPr>
        <w:t xml:space="preserve">«эксплуатационная документация производителя (изготовителя) медицинского изделия» </w:t>
      </w:r>
      <w:r>
        <w:rPr>
          <w:rStyle w:val="CharStyle10"/>
          <w:lang w:val="en-US" w:eastAsia="en-US"/>
        </w:rPr>
        <w:t xml:space="preserve">- </w:t>
      </w:r>
      <w:r>
        <w:rPr>
          <w:rStyle w:val="CharStyle10"/>
        </w:rPr>
        <w:t>документ (документы), предназначенный для ознакомления потребителя с конструкцией медицинского изделия, регламентирующий условия и правила эксплуатации (использование по назначению, техническое обслуживание, текущий ремонт, хранение и транспортировка), гарантированные производителем (изготовителем) значения основных параметров, характеристик (свойств) медицинского изделия, гарантийные обязательства, а также сведения о его утилизации или уничтожении.</w:t>
      </w:r>
    </w:p>
    <w:p>
      <w:pPr>
        <w:pStyle w:val="Style9"/>
        <w:keepNext w:val="0"/>
        <w:keepLines w:val="0"/>
        <w:widowControl w:val="0"/>
        <w:shd w:val="clear" w:color="auto" w:fill="auto"/>
        <w:bidi w:val="0"/>
        <w:spacing w:before="0" w:after="0" w:line="254" w:lineRule="auto"/>
        <w:ind w:left="0" w:right="0" w:firstLine="700"/>
        <w:jc w:val="both"/>
      </w:pPr>
      <w:r>
        <w:rPr>
          <w:rStyle w:val="CharStyle10"/>
        </w:rPr>
        <w:t>Согласно ч.11 ст.48 Закона об основах охраны здоровья граждан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pPr>
        <w:pStyle w:val="Style9"/>
        <w:keepNext w:val="0"/>
        <w:keepLines w:val="0"/>
        <w:widowControl w:val="0"/>
        <w:numPr>
          <w:ilvl w:val="0"/>
          <w:numId w:val="7"/>
        </w:numPr>
        <w:shd w:val="clear" w:color="auto" w:fill="auto"/>
        <w:tabs>
          <w:tab w:pos="1428" w:val="left"/>
        </w:tabs>
        <w:bidi w:val="0"/>
        <w:spacing w:before="0" w:after="40" w:line="254" w:lineRule="auto"/>
        <w:ind w:left="0" w:right="0" w:firstLine="700"/>
        <w:jc w:val="both"/>
      </w:pPr>
      <w:r>
        <w:rPr>
          <w:rStyle w:val="CharStyle10"/>
        </w:rPr>
        <w:t>наименование медицинского изделия;</w:t>
      </w:r>
    </w:p>
    <w:p>
      <w:pPr>
        <w:pStyle w:val="Style9"/>
        <w:keepNext w:val="0"/>
        <w:keepLines w:val="0"/>
        <w:widowControl w:val="0"/>
        <w:numPr>
          <w:ilvl w:val="0"/>
          <w:numId w:val="7"/>
        </w:numPr>
        <w:shd w:val="clear" w:color="auto" w:fill="auto"/>
        <w:tabs>
          <w:tab w:pos="1423" w:val="left"/>
        </w:tabs>
        <w:bidi w:val="0"/>
        <w:spacing w:before="0" w:after="0" w:line="254" w:lineRule="auto"/>
        <w:ind w:left="0" w:right="0" w:firstLine="700"/>
        <w:jc w:val="both"/>
      </w:pPr>
      <w:r>
        <w:rPr>
          <w:rStyle w:val="CharStyle10"/>
        </w:rPr>
        <w:t>дата государственной регистрации медицинского изделия и его регистрационный номер, срок действия регистрационного удостоверения;</w:t>
      </w:r>
    </w:p>
    <w:p>
      <w:pPr>
        <w:pStyle w:val="Style9"/>
        <w:keepNext w:val="0"/>
        <w:keepLines w:val="0"/>
        <w:widowControl w:val="0"/>
        <w:numPr>
          <w:ilvl w:val="0"/>
          <w:numId w:val="7"/>
        </w:numPr>
        <w:shd w:val="clear" w:color="auto" w:fill="auto"/>
        <w:tabs>
          <w:tab w:pos="1428" w:val="left"/>
        </w:tabs>
        <w:bidi w:val="0"/>
        <w:spacing w:before="0" w:after="40" w:line="254" w:lineRule="auto"/>
        <w:ind w:left="0" w:right="0" w:firstLine="700"/>
        <w:jc w:val="both"/>
      </w:pPr>
      <w:r>
        <w:rPr>
          <w:rStyle w:val="CharStyle10"/>
        </w:rPr>
        <w:t>назначение медицинского изделия, установленное производителем;</w:t>
      </w:r>
    </w:p>
    <w:p>
      <w:pPr>
        <w:pStyle w:val="Style9"/>
        <w:keepNext w:val="0"/>
        <w:keepLines w:val="0"/>
        <w:widowControl w:val="0"/>
        <w:numPr>
          <w:ilvl w:val="0"/>
          <w:numId w:val="7"/>
        </w:numPr>
        <w:shd w:val="clear" w:color="auto" w:fill="auto"/>
        <w:tabs>
          <w:tab w:pos="1428" w:val="left"/>
        </w:tabs>
        <w:bidi w:val="0"/>
        <w:spacing w:before="0" w:after="0" w:line="254" w:lineRule="auto"/>
        <w:ind w:left="0" w:right="0" w:firstLine="700"/>
        <w:jc w:val="both"/>
      </w:pPr>
      <w:r>
        <w:rPr>
          <w:rStyle w:val="CharStyle10"/>
        </w:rPr>
        <w:t>вид медицинского изделия;</w:t>
      </w:r>
    </w:p>
    <w:p>
      <w:pPr>
        <w:pStyle w:val="Style9"/>
        <w:keepNext w:val="0"/>
        <w:keepLines w:val="0"/>
        <w:widowControl w:val="0"/>
        <w:numPr>
          <w:ilvl w:val="0"/>
          <w:numId w:val="7"/>
        </w:numPr>
        <w:shd w:val="clear" w:color="auto" w:fill="auto"/>
        <w:tabs>
          <w:tab w:pos="1428" w:val="left"/>
        </w:tabs>
        <w:bidi w:val="0"/>
        <w:spacing w:before="0" w:after="40" w:line="254" w:lineRule="auto"/>
        <w:ind w:left="0" w:right="0" w:firstLine="700"/>
        <w:jc w:val="both"/>
      </w:pPr>
      <w:r>
        <w:rPr>
          <w:rStyle w:val="CharStyle10"/>
        </w:rPr>
        <w:t>класс потенциального риска применения медицинского изделия;</w:t>
      </w:r>
    </w:p>
    <w:p>
      <w:pPr>
        <w:pStyle w:val="Style9"/>
        <w:keepNext w:val="0"/>
        <w:keepLines w:val="0"/>
        <w:widowControl w:val="0"/>
        <w:numPr>
          <w:ilvl w:val="0"/>
          <w:numId w:val="7"/>
        </w:numPr>
        <w:shd w:val="clear" w:color="auto" w:fill="auto"/>
        <w:tabs>
          <w:tab w:pos="1428" w:val="left"/>
        </w:tabs>
        <w:bidi w:val="0"/>
        <w:spacing w:before="0" w:after="0" w:line="254" w:lineRule="auto"/>
        <w:ind w:left="0" w:right="0" w:firstLine="700"/>
        <w:jc w:val="both"/>
      </w:pPr>
      <w:r>
        <w:rPr>
          <w:rStyle w:val="CharStyle10"/>
        </w:rPr>
        <w:t>код Общероссийского классификатора продукции по видам</w:t>
      </w:r>
    </w:p>
    <w:p>
      <w:pPr>
        <w:pStyle w:val="Style9"/>
        <w:keepNext w:val="0"/>
        <w:keepLines w:val="0"/>
        <w:widowControl w:val="0"/>
        <w:shd w:val="clear" w:color="auto" w:fill="auto"/>
        <w:bidi w:val="0"/>
        <w:spacing w:before="0" w:after="0" w:line="254" w:lineRule="auto"/>
        <w:ind w:left="0" w:right="0" w:firstLine="0"/>
        <w:jc w:val="both"/>
      </w:pPr>
      <w:r>
        <w:rPr>
          <w:rStyle w:val="CharStyle10"/>
        </w:rPr>
        <w:t>экономической деятельности;</w:t>
      </w:r>
    </w:p>
    <w:p>
      <w:pPr>
        <w:pStyle w:val="Style9"/>
        <w:keepNext w:val="0"/>
        <w:keepLines w:val="0"/>
        <w:widowControl w:val="0"/>
        <w:numPr>
          <w:ilvl w:val="0"/>
          <w:numId w:val="7"/>
        </w:numPr>
        <w:shd w:val="clear" w:color="auto" w:fill="auto"/>
        <w:tabs>
          <w:tab w:pos="1423" w:val="left"/>
        </w:tabs>
        <w:bidi w:val="0"/>
        <w:spacing w:before="0" w:after="0" w:line="254" w:lineRule="auto"/>
        <w:ind w:left="0" w:right="0" w:firstLine="700"/>
        <w:jc w:val="both"/>
      </w:pPr>
      <w:r>
        <w:rPr>
          <w:rStyle w:val="CharStyle10"/>
        </w:rPr>
        <w:t xml:space="preserve">наименование и место нахождения юридического лица </w:t>
      </w:r>
      <w:r>
        <w:rPr>
          <w:rStyle w:val="CharStyle10"/>
          <w:lang w:val="en-US" w:eastAsia="en-US"/>
        </w:rPr>
        <w:t xml:space="preserve">- </w:t>
      </w:r>
      <w:r>
        <w:rPr>
          <w:rStyle w:val="CharStyle10"/>
        </w:rPr>
        <w:t xml:space="preserve">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10"/>
          <w:lang w:val="en-US" w:eastAsia="en-US"/>
        </w:rPr>
        <w:t xml:space="preserve">- </w:t>
      </w:r>
      <w:r>
        <w:rPr>
          <w:rStyle w:val="CharStyle10"/>
        </w:rPr>
        <w:t>уполномоченного представителя производителя (изготовителя) медицинского изделия;</w:t>
      </w:r>
    </w:p>
    <w:p>
      <w:pPr>
        <w:pStyle w:val="Style9"/>
        <w:keepNext w:val="0"/>
        <w:keepLines w:val="0"/>
        <w:widowControl w:val="0"/>
        <w:numPr>
          <w:ilvl w:val="0"/>
          <w:numId w:val="7"/>
        </w:numPr>
        <w:shd w:val="clear" w:color="auto" w:fill="auto"/>
        <w:tabs>
          <w:tab w:pos="1423" w:val="left"/>
        </w:tabs>
        <w:bidi w:val="0"/>
        <w:spacing w:before="0" w:after="0" w:line="254" w:lineRule="auto"/>
        <w:ind w:left="0" w:right="0" w:firstLine="700"/>
        <w:jc w:val="both"/>
      </w:pPr>
      <w:r>
        <w:rPr>
          <w:rStyle w:val="CharStyle10"/>
        </w:rPr>
        <w:t xml:space="preserve">наименование и место нахождения организации </w:t>
      </w:r>
      <w:r>
        <w:rPr>
          <w:rStyle w:val="CharStyle10"/>
          <w:lang w:val="en-US" w:eastAsia="en-US"/>
        </w:rPr>
        <w:t xml:space="preserve">- </w:t>
      </w:r>
      <w:r>
        <w:rPr>
          <w:rStyle w:val="CharStyle10"/>
        </w:rPr>
        <w:t xml:space="preserve">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10"/>
          <w:lang w:val="en-US" w:eastAsia="en-US"/>
        </w:rPr>
        <w:t xml:space="preserve">- </w:t>
      </w:r>
      <w:r>
        <w:rPr>
          <w:rStyle w:val="CharStyle10"/>
        </w:rPr>
        <w:t>производителя (изготовителя) медицинского изделия;</w:t>
      </w:r>
    </w:p>
    <w:p>
      <w:pPr>
        <w:pStyle w:val="Style9"/>
        <w:keepNext w:val="0"/>
        <w:keepLines w:val="0"/>
        <w:widowControl w:val="0"/>
        <w:numPr>
          <w:ilvl w:val="0"/>
          <w:numId w:val="7"/>
        </w:numPr>
        <w:shd w:val="clear" w:color="auto" w:fill="auto"/>
        <w:tabs>
          <w:tab w:pos="1428" w:val="left"/>
        </w:tabs>
        <w:bidi w:val="0"/>
        <w:spacing w:before="0" w:after="40" w:line="254" w:lineRule="auto"/>
        <w:ind w:left="0" w:right="0" w:firstLine="700"/>
        <w:jc w:val="both"/>
      </w:pPr>
      <w:r>
        <w:rPr>
          <w:rStyle w:val="CharStyle10"/>
        </w:rPr>
        <w:t>адрес места производства или изготовления медицинского изделия;</w:t>
      </w:r>
    </w:p>
    <w:p>
      <w:pPr>
        <w:pStyle w:val="Style9"/>
        <w:keepNext w:val="0"/>
        <w:keepLines w:val="0"/>
        <w:widowControl w:val="0"/>
        <w:numPr>
          <w:ilvl w:val="0"/>
          <w:numId w:val="7"/>
        </w:numPr>
        <w:shd w:val="clear" w:color="auto" w:fill="auto"/>
        <w:tabs>
          <w:tab w:pos="1428" w:val="left"/>
        </w:tabs>
        <w:bidi w:val="0"/>
        <w:spacing w:before="0" w:after="0" w:line="254" w:lineRule="auto"/>
        <w:ind w:left="0" w:right="0" w:firstLine="700"/>
        <w:jc w:val="both"/>
      </w:pPr>
      <w:r>
        <w:rPr>
          <w:rStyle w:val="CharStyle10"/>
          <w:lang w:val="en-US" w:eastAsia="en-US"/>
        </w:rPr>
        <w:t xml:space="preserve">) </w:t>
      </w:r>
      <w:r>
        <w:rPr>
          <w:rStyle w:val="CharStyle10"/>
        </w:rPr>
        <w:t>сведения о взаимозаменяемых медицинских изделиях;</w:t>
      </w:r>
    </w:p>
    <w:p>
      <w:pPr>
        <w:pStyle w:val="Style9"/>
        <w:keepNext w:val="0"/>
        <w:keepLines w:val="0"/>
        <w:widowControl w:val="0"/>
        <w:numPr>
          <w:ilvl w:val="0"/>
          <w:numId w:val="7"/>
        </w:numPr>
        <w:shd w:val="clear" w:color="auto" w:fill="auto"/>
        <w:tabs>
          <w:tab w:pos="1428" w:val="left"/>
        </w:tabs>
        <w:bidi w:val="0"/>
        <w:spacing w:before="0" w:after="0" w:line="254" w:lineRule="auto"/>
        <w:ind w:left="0" w:right="0" w:firstLine="700"/>
        <w:jc w:val="both"/>
      </w:pPr>
      <w:r>
        <w:rPr>
          <w:rStyle w:val="CharStyle10"/>
          <w:lang w:val="en-US" w:eastAsia="en-US"/>
        </w:rPr>
        <w:t xml:space="preserve">) </w:t>
      </w:r>
      <w:r>
        <w:rPr>
          <w:rStyle w:val="CharStyle10"/>
        </w:rPr>
        <w:t>иные сведения, определяемые Правительством Российской Федерации.</w:t>
      </w:r>
    </w:p>
    <w:p>
      <w:pPr>
        <w:pStyle w:val="Style9"/>
        <w:keepNext w:val="0"/>
        <w:keepLines w:val="0"/>
        <w:widowControl w:val="0"/>
        <w:shd w:val="clear" w:color="auto" w:fill="auto"/>
        <w:bidi w:val="0"/>
        <w:spacing w:before="0" w:after="40" w:line="262" w:lineRule="auto"/>
        <w:ind w:left="0" w:right="0" w:firstLine="700"/>
        <w:jc w:val="both"/>
        <w:rPr>
          <w:sz w:val="24"/>
          <w:szCs w:val="24"/>
        </w:rPr>
        <w:sectPr>
          <w:headerReference w:type="default" r:id="rId17"/>
          <w:footerReference w:type="default" r:id="rId18"/>
          <w:headerReference w:type="even" r:id="rId19"/>
          <w:footerReference w:type="even" r:id="rId20"/>
          <w:footnotePr>
            <w:pos w:val="pageBottom"/>
            <w:numFmt w:val="decimal"/>
            <w:numRestart w:val="continuous"/>
          </w:footnotePr>
          <w:pgSz w:w="11900" w:h="16840"/>
          <w:pgMar w:top="1162" w:right="542" w:bottom="677" w:left="1100" w:header="0" w:footer="249" w:gutter="0"/>
          <w:cols w:space="720"/>
          <w:noEndnote/>
          <w:rtlGutter w:val="0"/>
          <w:docGrid w:linePitch="360"/>
        </w:sectPr>
      </w:pPr>
      <w:r>
        <w:rPr>
          <w:rStyle w:val="CharStyle10"/>
        </w:rPr>
        <w:t xml:space="preserve">В силу п.7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(далее </w:t>
      </w:r>
      <w:r>
        <w:rPr>
          <w:rStyle w:val="CharStyle10"/>
          <w:lang w:val="en-US" w:eastAsia="en-US"/>
        </w:rPr>
        <w:t xml:space="preserve">- </w:t>
      </w:r>
      <w:r>
        <w:rPr>
          <w:rStyle w:val="CharStyle10"/>
        </w:rPr>
        <w:t xml:space="preserve">Правила ведения государственного реестра медицинских изделий), утвержденных п.1 Постановления Правительства </w:t>
      </w:r>
      <w:r>
        <w:rPr>
          <w:rStyle w:val="CharStyle10"/>
          <w:sz w:val="24"/>
          <w:szCs w:val="24"/>
          <w:lang w:val="en-US" w:eastAsia="en-US"/>
        </w:rPr>
        <w:t>2026-24597</w:t>
      </w:r>
    </w:p>
    <w:p>
      <w:pPr>
        <w:pStyle w:val="Style9"/>
        <w:keepNext w:val="0"/>
        <w:keepLines w:val="0"/>
        <w:widowControl w:val="0"/>
        <w:shd w:val="clear" w:color="auto" w:fill="auto"/>
        <w:bidi w:val="0"/>
        <w:spacing w:before="0" w:after="0" w:line="252" w:lineRule="auto"/>
        <w:ind w:left="0" w:right="0" w:firstLine="0"/>
        <w:jc w:val="both"/>
      </w:pPr>
      <w:r>
        <w:rPr>
          <w:rStyle w:val="CharStyle10"/>
        </w:rPr>
        <w:t xml:space="preserve">РФ от </w:t>
      </w:r>
      <w:r>
        <w:rPr>
          <w:rStyle w:val="CharStyle10"/>
          <w:lang w:val="en-US" w:eastAsia="en-US"/>
        </w:rPr>
        <w:t xml:space="preserve">30.09.2021 №1650 </w:t>
      </w:r>
      <w:r>
        <w:rPr>
          <w:rStyle w:val="CharStyle10"/>
        </w:rPr>
        <w:t xml:space="preserve">«Об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w:t>
      </w:r>
      <w:r>
        <w:rPr>
          <w:rStyle w:val="CharStyle10"/>
          <w:lang w:val="en-US" w:eastAsia="en-US"/>
        </w:rPr>
        <w:t xml:space="preserve">1, 2 </w:t>
      </w:r>
      <w:r>
        <w:rPr>
          <w:rStyle w:val="CharStyle10"/>
        </w:rPr>
        <w:t xml:space="preserve">и </w:t>
      </w:r>
      <w:r>
        <w:rPr>
          <w:rStyle w:val="CharStyle10"/>
          <w:lang w:val="en-US" w:eastAsia="en-US"/>
        </w:rPr>
        <w:t xml:space="preserve">3 </w:t>
      </w:r>
      <w:r>
        <w:rPr>
          <w:rStyle w:val="CharStyle10"/>
        </w:rPr>
        <w:t xml:space="preserve">статьи </w:t>
      </w:r>
      <w:r>
        <w:rPr>
          <w:rStyle w:val="CharStyle10"/>
          <w:lang w:val="en-US" w:eastAsia="en-US"/>
        </w:rPr>
        <w:t xml:space="preserve">15 </w:t>
      </w:r>
      <w:r>
        <w:rPr>
          <w:rStyle w:val="CharStyle10"/>
        </w:rPr>
        <w:t>Федерального закона «Об обязательных требованиях в Российской Федерации» внесение в реестр сведений осуществляется в течение одного рабочего дня со дня принятия решения о государственной регистрации медицинского изделия, или об отмене государственной регистрации медицинского изделия, или о внесении изменений в документы, содержащиеся в регистрационном досье на медицинское изделие.</w:t>
      </w:r>
    </w:p>
    <w:p>
      <w:pPr>
        <w:pStyle w:val="Style9"/>
        <w:keepNext w:val="0"/>
        <w:keepLines w:val="0"/>
        <w:widowControl w:val="0"/>
        <w:shd w:val="clear" w:color="auto" w:fill="auto"/>
        <w:bidi w:val="0"/>
        <w:spacing w:before="0" w:after="0" w:line="252" w:lineRule="auto"/>
        <w:ind w:left="0" w:right="0" w:firstLine="700"/>
        <w:jc w:val="both"/>
      </w:pPr>
      <w:r>
        <w:rPr>
          <w:rStyle w:val="CharStyle10"/>
        </w:rPr>
        <w:t>Согласно пп.«н» п.6 Правил ведения государственного реестра медицинских изделий Реестр медицинских изделий содержит электронный образ эксплуатационной документации производителя (изготовителя) на медицинское изделие, при этом п.6 Правил ведения государственного реестра медицинских изделий не предусмотрено публикация в Реестре медицинских изделий сведений о технической документации производителя (изготовителя) медицинского изделия.</w:t>
      </w:r>
    </w:p>
    <w:p>
      <w:pPr>
        <w:pStyle w:val="Style9"/>
        <w:keepNext w:val="0"/>
        <w:keepLines w:val="0"/>
        <w:widowControl w:val="0"/>
        <w:shd w:val="clear" w:color="auto" w:fill="auto"/>
        <w:bidi w:val="0"/>
        <w:spacing w:before="0" w:after="0" w:line="252" w:lineRule="auto"/>
        <w:ind w:left="0" w:right="0" w:firstLine="700"/>
        <w:jc w:val="both"/>
      </w:pPr>
      <w:r>
        <w:rPr>
          <w:rStyle w:val="CharStyle10"/>
        </w:rPr>
        <w:t>Исходя из вышеизложенного Комиссия Управления приходит к выводу, что в Реестре медицинских изделий подлежит размещению лишь эксплуатационная документация производителя (изготовителя) на медицинское изделие, при этом техническая документация производителя (изготовителя) на медицинское изделие не подлежит публикации, в связи с чем документы, размещенные в Реестре медицинских изделий, могут не содержать исчерпывающий перечень характеристик зарегистрированного медицинского изделия.</w:t>
      </w:r>
    </w:p>
    <w:p>
      <w:pPr>
        <w:pStyle w:val="Style9"/>
        <w:keepNext w:val="0"/>
        <w:keepLines w:val="0"/>
        <w:widowControl w:val="0"/>
        <w:shd w:val="clear" w:color="auto" w:fill="auto"/>
        <w:bidi w:val="0"/>
        <w:spacing w:before="0" w:after="0" w:line="252" w:lineRule="auto"/>
        <w:ind w:left="0" w:right="0" w:firstLine="700"/>
        <w:jc w:val="both"/>
      </w:pPr>
      <w:r>
        <w:rPr>
          <w:rStyle w:val="CharStyle10"/>
        </w:rPr>
        <w:t>Таким образом, Комиссия Управления приходит к выводу, что отсутствие в эксплуатационной документации на медицинское изделие указания на отдельные характеристики изделия не может однозначным образом свидетельствовать об отсутствии у изделия таких характеристик.</w:t>
      </w:r>
    </w:p>
    <w:p>
      <w:pPr>
        <w:pStyle w:val="Style9"/>
        <w:keepNext w:val="0"/>
        <w:keepLines w:val="0"/>
        <w:widowControl w:val="0"/>
        <w:shd w:val="clear" w:color="auto" w:fill="auto"/>
        <w:bidi w:val="0"/>
        <w:spacing w:before="0" w:after="0" w:line="252" w:lineRule="auto"/>
        <w:ind w:left="0" w:right="0" w:firstLine="700"/>
        <w:jc w:val="both"/>
      </w:pPr>
      <w:r>
        <w:rPr>
          <w:rStyle w:val="CharStyle10"/>
        </w:rPr>
        <w:t xml:space="preserve">Вместе с этим Комиссия Управления отмечает, что указание в эксплуатационной документации медицинского изделия «Генератор электрохирургический, ультразвуковой </w:t>
      </w:r>
      <w:r>
        <w:rPr>
          <w:rStyle w:val="CharStyle10"/>
          <w:lang w:val="en-US" w:eastAsia="en-US"/>
        </w:rPr>
        <w:t xml:space="preserve">G11, </w:t>
      </w:r>
      <w:r>
        <w:rPr>
          <w:rStyle w:val="CharStyle10"/>
        </w:rPr>
        <w:t xml:space="preserve">с принадлежностями» информации «Точность измерения мощности электрохирургического анализатора не должна превышать менее </w:t>
      </w:r>
      <w:r>
        <w:rPr>
          <w:rStyle w:val="CharStyle10"/>
          <w:lang w:val="en-US" w:eastAsia="en-US"/>
        </w:rPr>
        <w:t xml:space="preserve">± 10% </w:t>
      </w:r>
      <w:r>
        <w:rPr>
          <w:rStyle w:val="CharStyle10"/>
        </w:rPr>
        <w:t xml:space="preserve">для частот приводов инструментов </w:t>
      </w:r>
      <w:r>
        <w:rPr>
          <w:rStyle w:val="CharStyle10"/>
          <w:lang w:val="en-US" w:eastAsia="en-US"/>
        </w:rPr>
        <w:t xml:space="preserve">Harmonic </w:t>
      </w:r>
      <w:r>
        <w:rPr>
          <w:rStyle w:val="CharStyle10"/>
        </w:rPr>
        <w:t xml:space="preserve">или </w:t>
      </w:r>
      <w:r>
        <w:rPr>
          <w:rStyle w:val="CharStyle10"/>
          <w:lang w:val="en-US" w:eastAsia="en-US"/>
        </w:rPr>
        <w:t xml:space="preserve">EnSeal (55,5 </w:t>
      </w:r>
      <w:r>
        <w:rPr>
          <w:rStyle w:val="CharStyle10"/>
        </w:rPr>
        <w:t xml:space="preserve">кГц± </w:t>
      </w:r>
      <w:r>
        <w:rPr>
          <w:rStyle w:val="CharStyle10"/>
          <w:lang w:val="en-US" w:eastAsia="en-US"/>
        </w:rPr>
        <w:t xml:space="preserve">5 </w:t>
      </w:r>
      <w:r>
        <w:rPr>
          <w:rStyle w:val="CharStyle10"/>
        </w:rPr>
        <w:t xml:space="preserve">кГц и </w:t>
      </w:r>
      <w:r>
        <w:rPr>
          <w:rStyle w:val="CharStyle10"/>
          <w:lang w:val="en-US" w:eastAsia="en-US"/>
        </w:rPr>
        <w:t xml:space="preserve">330 </w:t>
      </w:r>
      <w:r>
        <w:rPr>
          <w:rStyle w:val="CharStyle10"/>
        </w:rPr>
        <w:t xml:space="preserve">кГц </w:t>
      </w:r>
      <w:r>
        <w:rPr>
          <w:rStyle w:val="CharStyle10"/>
          <w:lang w:val="en-US" w:eastAsia="en-US"/>
        </w:rPr>
        <w:t xml:space="preserve">± 3 </w:t>
      </w:r>
      <w:r>
        <w:rPr>
          <w:rStyle w:val="CharStyle10"/>
        </w:rPr>
        <w:t>кГц, соответственно)» не может однозначным образом свидетельствовать о несоответствии данного изделия требоваям извещения, так как данные сведения не в полной мере соотносится с требованиям извещения.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Также Комиссия Управления отмечает, что наличие у изделий обособленных принадлежностей или инструментов, обеспечивающих возможность применения биполярной и(или) ультразвуковой энергии, не может однозначным образом свидетельствовать о несоответствии такого изделия требованиям извещения, так как функционал изделия обеспечивает необходимый, требуемый извещением функционал.</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Также на заседании Комиссии представитель Заказчика указал, что к изделию «Генератор электрохирургический, ультразвуковой </w:t>
      </w:r>
      <w:r>
        <w:rPr>
          <w:rStyle w:val="CharStyle10"/>
          <w:lang w:val="en-US" w:eastAsia="en-US"/>
        </w:rPr>
        <w:t xml:space="preserve">G11, </w:t>
      </w:r>
      <w:r>
        <w:rPr>
          <w:rStyle w:val="CharStyle10"/>
        </w:rPr>
        <w:t xml:space="preserve">с принадлежностями» может быть подключена лапаросоническая рукоять </w:t>
      </w:r>
      <w:r>
        <w:rPr>
          <w:rStyle w:val="CharStyle10"/>
          <w:lang w:val="en-US" w:eastAsia="en-US"/>
        </w:rPr>
        <w:t xml:space="preserve">HP054, </w:t>
      </w:r>
      <w:r>
        <w:rPr>
          <w:rStyle w:val="CharStyle10"/>
        </w:rPr>
        <w:t xml:space="preserve">которая подключается фронтально, в связи с чем изделие «Генератор электрохирургический, ультразвуковой </w:t>
      </w:r>
      <w:r>
        <w:rPr>
          <w:rStyle w:val="CharStyle10"/>
          <w:lang w:val="en-US" w:eastAsia="en-US"/>
        </w:rPr>
        <w:t xml:space="preserve">G11, </w:t>
      </w:r>
      <w:r>
        <w:rPr>
          <w:rStyle w:val="CharStyle10"/>
        </w:rPr>
        <w:t>с принадлежностями», производства компании «Этикон Эндо- Серджери, Эл-Эл-Си».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то же время, на основании представленных документов и сведений, не усматривается достаточных оснований для однозначного вывода о несоответствии рассматриваемых медицинских изделий требованиям извещения об осуществлении закупки. В регистрационных материалах отсутствуют информация, позволяющая однозначно и императивно интерпретировать данное требование в толковании, предложенном Заявителем. Доводы Заявителя в указанной части носят предположительный характер и не подкреплены совокупностью объективных и допустимых доказательств.</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Таким образом, в составе жалобы Заявителем не представлено документов и сведений, однозначно свидетельствующих о несоответствии вышеуказанных изделий совокупности требований извещения.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Иного на заседании Комиссии Управления не выявлено.</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вышеизложенного Комиссия Управления приходит к выводу, что доводы жалобы Заявителя не нашли своего подтверждения и являются необоснованными.</w:t>
      </w:r>
    </w:p>
    <w:p>
      <w:pPr>
        <w:pStyle w:val="Style9"/>
        <w:keepNext w:val="0"/>
        <w:keepLines w:val="0"/>
        <w:widowControl w:val="0"/>
        <w:shd w:val="clear" w:color="auto" w:fill="auto"/>
        <w:bidi w:val="0"/>
        <w:spacing w:before="0" w:after="0" w:line="240" w:lineRule="auto"/>
        <w:ind w:left="0" w:right="0" w:firstLine="700"/>
        <w:jc w:val="both"/>
        <w:sectPr>
          <w:headerReference w:type="default" r:id="rId21"/>
          <w:footerReference w:type="default" r:id="rId22"/>
          <w:headerReference w:type="even" r:id="rId23"/>
          <w:footerReference w:type="even" r:id="rId24"/>
          <w:footnotePr>
            <w:pos w:val="pageBottom"/>
            <w:numFmt w:val="decimal"/>
            <w:numRestart w:val="continuous"/>
          </w:footnotePr>
          <w:pgSz w:w="11900" w:h="16840"/>
          <w:pgMar w:top="1162" w:right="552" w:bottom="1157" w:left="1105" w:header="0" w:footer="3" w:gutter="0"/>
          <w:cols w:space="720"/>
          <w:noEndnote/>
          <w:rtlGutter w:val="0"/>
          <w:docGrid w:linePitch="360"/>
        </w:sectPr>
      </w:pPr>
      <w:r>
        <w:rPr>
          <w:rStyle w:val="CharStyle10"/>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280" w:line="240" w:lineRule="auto"/>
        <w:ind w:left="0" w:right="0" w:firstLine="0"/>
        <w:jc w:val="center"/>
      </w:pPr>
      <w:r>
        <w:rPr>
          <w:rStyle w:val="CharStyle10"/>
          <w:b/>
          <w:bCs/>
        </w:rPr>
        <w:t>РЕШИЛА:</w:t>
      </w:r>
    </w:p>
    <w:p>
      <w:pPr>
        <w:pStyle w:val="Style9"/>
        <w:keepNext w:val="0"/>
        <w:keepLines w:val="0"/>
        <w:widowControl w:val="0"/>
        <w:numPr>
          <w:ilvl w:val="0"/>
          <w:numId w:val="9"/>
        </w:numPr>
        <w:shd w:val="clear" w:color="auto" w:fill="auto"/>
        <w:tabs>
          <w:tab w:pos="1416" w:val="left"/>
        </w:tabs>
        <w:bidi w:val="0"/>
        <w:spacing w:before="0" w:after="0" w:line="240" w:lineRule="auto"/>
        <w:ind w:left="0" w:right="0" w:firstLine="620"/>
        <w:jc w:val="both"/>
      </w:pPr>
      <w:r>
        <w:rPr>
          <w:rStyle w:val="CharStyle10"/>
        </w:rPr>
        <w:t>Признать жалобу ООО «Высота» на действия ФГБУ «НМИЦ ТО им. Н.Н. Приорова» Минздрава России необоснованной.</w:t>
      </w:r>
    </w:p>
    <w:p>
      <w:pPr>
        <w:pStyle w:val="Style9"/>
        <w:keepNext w:val="0"/>
        <w:keepLines w:val="0"/>
        <w:widowControl w:val="0"/>
        <w:numPr>
          <w:ilvl w:val="0"/>
          <w:numId w:val="9"/>
        </w:numPr>
        <w:shd w:val="clear" w:color="auto" w:fill="auto"/>
        <w:tabs>
          <w:tab w:pos="1416" w:val="left"/>
        </w:tabs>
        <w:bidi w:val="0"/>
        <w:spacing w:before="0" w:after="240" w:line="240" w:lineRule="auto"/>
        <w:ind w:left="0" w:right="0" w:firstLine="620"/>
        <w:jc w:val="both"/>
      </w:pPr>
      <w:r>
        <w:rPr>
          <w:rStyle w:val="CharStyle10"/>
        </w:rPr>
        <w:t>Снять ограничения на определение поставщика (подрядчика, исполнителя), наложенные Московским УФАС России.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Решение может быть обжаловано в судебном порядке в Арбитражном суде г. Москвы в течение </w:t>
      </w:r>
      <w:r>
        <w:rPr>
          <w:rStyle w:val="CharStyle10"/>
          <w:lang w:val="en-US" w:eastAsia="en-US"/>
        </w:rPr>
        <w:t xml:space="preserve">3 </w:t>
      </w:r>
      <w:r>
        <w:rPr>
          <w:rStyle w:val="CharStyle10"/>
        </w:rPr>
        <w:t xml:space="preserve">(трех) месяцев с даты его принятия в порядке, установленным гл. </w:t>
      </w:r>
      <w:r>
        <w:rPr>
          <w:rStyle w:val="CharStyle10"/>
          <w:lang w:val="en-US" w:eastAsia="en-US"/>
        </w:rPr>
        <w:t xml:space="preserve">24 </w:t>
      </w:r>
      <w:r>
        <w:rPr>
          <w:rStyle w:val="CharStyle10"/>
        </w:rPr>
        <w:t>АПК РФ.</w:t>
      </w:r>
    </w:p>
    <w:p>
      <w:pPr>
        <w:widowControl w:val="0"/>
        <w:spacing w:line="1" w:lineRule="exact"/>
        <w:sectPr>
          <w:footnotePr>
            <w:pos w:val="pageBottom"/>
            <w:numFmt w:val="decimal"/>
            <w:numRestart w:val="continuous"/>
          </w:footnotePr>
          <w:pgSz w:w="11900" w:h="16840"/>
          <w:pgMar w:top="1158" w:right="532" w:bottom="1787" w:left="1111" w:header="0" w:footer="3" w:gutter="0"/>
          <w:cols w:space="720"/>
          <w:noEndnote/>
          <w:rtlGutter w:val="0"/>
          <w:docGrid w:linePitch="360"/>
        </w:sectPr>
      </w:pPr>
      <w:r>
        <mc:AlternateContent>
          <mc:Choice Requires="wps">
            <w:drawing>
              <wp:anchor distT="127000" distB="340995" distL="0" distR="0" simplePos="0" relativeHeight="125829378" behindDoc="0" locked="0" layoutInCell="1" allowOverlap="1">
                <wp:simplePos x="0" y="0"/>
                <wp:positionH relativeFrom="page">
                  <wp:posOffset>739140</wp:posOffset>
                </wp:positionH>
                <wp:positionV relativeFrom="paragraph">
                  <wp:posOffset>127000</wp:posOffset>
                </wp:positionV>
                <wp:extent cx="1880870" cy="250190"/>
                <wp:wrapTopAndBottom/>
                <wp:docPr id="26" name="Shape 26"/>
                <a:graphic xmlns:a="http://schemas.openxmlformats.org/drawingml/2006/main">
                  <a:graphicData uri="http://schemas.microsoft.com/office/word/2010/wordprocessingShape">
                    <wps:wsp>
                      <wps:cNvSpPr txBox="1"/>
                      <wps:spPr>
                        <a:xfrm>
                          <a:ext cx="188087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wps:txbx>
                      <wps:bodyPr wrap="none" lIns="0" tIns="0" rIns="0" bIns="0">
                        <a:noAutoFit/>
                      </wps:bodyPr>
                    </wps:wsp>
                  </a:graphicData>
                </a:graphic>
              </wp:anchor>
            </w:drawing>
          </mc:Choice>
          <mc:Fallback>
            <w:pict>
              <v:shape id="_x0000_s1052" type="#_x0000_t202" style="position:absolute;margin-left:58.200000000000003pt;margin-top:10.pt;width:148.09999999999999pt;height:19.699999999999999pt;z-index:-125829375;mso-wrap-distance-left:0;mso-wrap-distance-top:10.pt;mso-wrap-distance-right:0;mso-wrap-distance-bottom:26.8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v:textbox>
                <w10:wrap type="topAndBottom" anchorx="page"/>
              </v:shape>
            </w:pict>
          </mc:Fallback>
        </mc:AlternateContent>
      </w:r>
      <w:r>
        <w:drawing>
          <wp:anchor distT="163830" distB="0" distL="0" distR="1786255" simplePos="0" relativeHeight="125829380" behindDoc="0" locked="0" layoutInCell="1" allowOverlap="1">
            <wp:simplePos x="0" y="0"/>
            <wp:positionH relativeFrom="page">
              <wp:posOffset>3070860</wp:posOffset>
            </wp:positionH>
            <wp:positionV relativeFrom="paragraph">
              <wp:posOffset>163830</wp:posOffset>
            </wp:positionV>
            <wp:extent cx="389890" cy="554990"/>
            <wp:wrapTopAndBottom/>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25"/>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3561715</wp:posOffset>
                </wp:positionH>
                <wp:positionV relativeFrom="paragraph">
                  <wp:posOffset>602615</wp:posOffset>
                </wp:positionV>
                <wp:extent cx="1283335" cy="100330"/>
                <wp:wrapNone/>
                <wp:docPr id="30" name="Shape 30"/>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56" type="#_x0000_t202" style="position:absolute;margin-left:280.44999999999999pt;margin-top:47.450000000000003pt;width:101.05pt;height:7.90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3521710</wp:posOffset>
                </wp:positionH>
                <wp:positionV relativeFrom="paragraph">
                  <wp:posOffset>285750</wp:posOffset>
                </wp:positionV>
                <wp:extent cx="1722120" cy="259080"/>
                <wp:wrapNone/>
                <wp:docPr id="32" name="Shape 3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77.30000000000001pt;margin-top:22.5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40995" distL="0" distR="0" simplePos="0" relativeHeight="125829381" behindDoc="0" locked="0" layoutInCell="1" allowOverlap="1">
                <wp:simplePos x="0" y="0"/>
                <wp:positionH relativeFrom="page">
                  <wp:posOffset>5908675</wp:posOffset>
                </wp:positionH>
                <wp:positionV relativeFrom="paragraph">
                  <wp:posOffset>127000</wp:posOffset>
                </wp:positionV>
                <wp:extent cx="1307465" cy="250190"/>
                <wp:wrapTopAndBottom/>
                <wp:docPr id="34" name="Shape 34"/>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А.А. Кутейников</w:t>
                            </w:r>
                          </w:p>
                        </w:txbxContent>
                      </wps:txbx>
                      <wps:bodyPr wrap="none" lIns="0" tIns="0" rIns="0" bIns="0">
                        <a:noAutoFit/>
                      </wps:bodyPr>
                    </wps:wsp>
                  </a:graphicData>
                </a:graphic>
              </wp:anchor>
            </w:drawing>
          </mc:Choice>
          <mc:Fallback>
            <w:pict>
              <v:shape id="_x0000_s1060" type="#_x0000_t202" style="position:absolute;margin-left:465.25pt;margin-top:10.pt;width:102.95pt;height:19.699999999999999pt;z-index:-125829372;mso-wrap-distance-left:0;mso-wrap-distance-top:10.pt;mso-wrap-distance-right:0;mso-wrap-distance-bottom:26.8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А.А. Кутейников</w:t>
                      </w:r>
                    </w:p>
                  </w:txbxContent>
                </v:textbox>
                <w10:wrap type="topAndBottom" anchorx="page"/>
              </v:shape>
            </w:pict>
          </mc:Fallback>
        </mc:AlternateConten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Кутейников Антон Андреевич</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67950889C45403E5BD9EBC88A8D80C0D</w:t>
      </w:r>
    </w:p>
    <w:p>
      <w:pPr>
        <w:pStyle w:val="Style18"/>
        <w:keepNext w:val="0"/>
        <w:keepLines w:val="0"/>
        <w:widowControl w:val="0"/>
        <w:shd w:val="clear" w:color="auto" w:fill="auto"/>
        <w:bidi w:val="0"/>
        <w:spacing w:before="0" w:after="560" w:line="240" w:lineRule="auto"/>
        <w:ind w:right="0" w:firstLine="0"/>
        <w:jc w:val="left"/>
      </w:pPr>
      <w:r>
        <w:rPr>
          <w:rStyle w:val="CharStyle19"/>
        </w:rPr>
        <w:t xml:space="preserve">Действителен с 19.05.2025 </w:t>
      </w:r>
      <w:r>
        <w:rPr>
          <w:rStyle w:val="CharStyle19"/>
          <w:color w:val="5E5E5E"/>
        </w:rPr>
        <w:t xml:space="preserve">по </w:t>
      </w:r>
      <w:r>
        <w:rPr>
          <w:rStyle w:val="CharStyle19"/>
        </w:rPr>
        <w:t>12.08.2026</w:t>
      </w:r>
    </w:p>
    <w:p>
      <w:pPr>
        <w:pStyle w:val="Style9"/>
        <w:keepNext w:val="0"/>
        <w:keepLines w:val="0"/>
        <w:widowControl w:val="0"/>
        <w:shd w:val="clear" w:color="auto" w:fill="auto"/>
        <w:bidi w:val="0"/>
        <w:spacing w:before="0" w:after="80" w:line="240" w:lineRule="auto"/>
        <w:ind w:left="0" w:right="0" w:firstLine="0"/>
        <w:jc w:val="left"/>
      </w:pPr>
      <w:r>
        <w:rPr>
          <w:rStyle w:val="CharStyle10"/>
        </w:rPr>
        <w:t>Члены Комиссии</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3" behindDoc="0" locked="0" layoutInCell="1" allowOverlap="1">
            <wp:simplePos x="0" y="0"/>
            <wp:positionH relativeFrom="page">
              <wp:posOffset>3101340</wp:posOffset>
            </wp:positionH>
            <wp:positionV relativeFrom="paragraph">
              <wp:posOffset>63500</wp:posOffset>
            </wp:positionV>
            <wp:extent cx="359410" cy="524510"/>
            <wp:wrapSquare wrapText="right"/>
            <wp:docPr id="36" name="Shape 36"/>
            <a:graphic xmlns:a="http://schemas.openxmlformats.org/drawingml/2006/main">
              <a:graphicData uri="http://schemas.openxmlformats.org/drawingml/2006/picture">
                <pic:pic xmlns:pic="http://schemas.openxmlformats.org/drawingml/2006/picture">
                  <pic:nvPicPr>
                    <pic:cNvPr id="37" name="Picture box 37"/>
                    <pic:cNvPicPr/>
                  </pic:nvPicPr>
                  <pic:blipFill>
                    <a:blip r:embed="rId27"/>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3561715</wp:posOffset>
                </wp:positionH>
                <wp:positionV relativeFrom="paragraph">
                  <wp:posOffset>468630</wp:posOffset>
                </wp:positionV>
                <wp:extent cx="1283335" cy="100330"/>
                <wp:wrapNone/>
                <wp:docPr id="38" name="Shape 38"/>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64" type="#_x0000_t202" style="position:absolute;margin-left:280.44999999999999pt;margin-top:36.899999999999999pt;width:101.05pt;height:7.9000000000000004pt;z-index:251657733;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3521710</wp:posOffset>
                </wp:positionH>
                <wp:positionV relativeFrom="paragraph">
                  <wp:posOffset>151765</wp:posOffset>
                </wp:positionV>
                <wp:extent cx="1722120" cy="259080"/>
                <wp:wrapNone/>
                <wp:docPr id="40" name="Shape 4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6" type="#_x0000_t202" style="position:absolute;margin-left:277.30000000000001pt;margin-top:11.950000000000001pt;width:135.59999999999999pt;height:20.40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А.А. Матюшенко</w:t>
      </w:r>
    </w:p>
    <w:p>
      <w:pPr>
        <w:pStyle w:val="Style18"/>
        <w:keepNext w:val="0"/>
        <w:keepLines w:val="0"/>
        <w:widowControl w:val="0"/>
        <w:shd w:val="clear" w:color="auto" w:fill="auto"/>
        <w:bidi w:val="0"/>
        <w:spacing w:before="0" w:after="0"/>
        <w:ind w:right="0" w:firstLine="0"/>
        <w:jc w:val="left"/>
      </w:pPr>
      <w:r>
        <w:rPr>
          <w:rStyle w:val="CharStyle19"/>
        </w:rPr>
        <w:t xml:space="preserve">Кому выдан: </w:t>
      </w:r>
      <w:r>
        <w:rPr>
          <w:rStyle w:val="CharStyle19"/>
          <w:color w:val="000000"/>
        </w:rPr>
        <w:t>Матюшенко Александр Александрович</w:t>
      </w:r>
      <w:r>
        <w:rPr>
          <w:rStyle w:val="CharStyle19"/>
          <w:color w:val="000000"/>
        </w:rPr>
        <w:t xml:space="preserve"> </w:t>
      </w:r>
      <w:r>
        <w:rPr>
          <w:rStyle w:val="CharStyle19"/>
        </w:rPr>
        <w:t xml:space="preserve">Сертификат </w:t>
      </w:r>
      <w:r>
        <w:rPr>
          <w:rStyle w:val="CharStyle19"/>
          <w:color w:val="292929"/>
        </w:rPr>
        <w:t xml:space="preserve">№ </w:t>
      </w:r>
      <w:r>
        <w:rPr>
          <w:rStyle w:val="CharStyle19"/>
          <w:lang w:val="en-US" w:eastAsia="en-US"/>
        </w:rPr>
        <w:t>4F595A5C3E5ABB2DD77161F08559FC07</w:t>
      </w:r>
    </w:p>
    <w:p>
      <w:pPr>
        <w:pStyle w:val="Style18"/>
        <w:keepNext w:val="0"/>
        <w:keepLines w:val="0"/>
        <w:widowControl w:val="0"/>
        <w:shd w:val="clear" w:color="auto" w:fill="auto"/>
        <w:bidi w:val="0"/>
        <w:spacing w:before="0" w:after="560"/>
        <w:ind w:right="0" w:firstLine="0"/>
        <w:jc w:val="left"/>
      </w:pPr>
      <w:r>
        <w:rPr>
          <w:rStyle w:val="CharStyle19"/>
        </w:rPr>
        <w:t xml:space="preserve">Действителен с 22.07.2025 </w:t>
      </w:r>
      <w:r>
        <w:rPr>
          <w:rStyle w:val="CharStyle19"/>
          <w:color w:val="5E5E5E"/>
        </w:rPr>
        <w:t xml:space="preserve">по </w:t>
      </w:r>
      <w:r>
        <w:rPr>
          <w:rStyle w:val="CharStyle19"/>
        </w:rPr>
        <w:t>15.10.2026</w:t>
      </w:r>
    </w:p>
    <w:p>
      <w:pPr>
        <w:pStyle w:val="Style9"/>
        <w:keepNext w:val="0"/>
        <w:keepLines w:val="0"/>
        <w:widowControl w:val="0"/>
        <w:shd w:val="clear" w:color="auto" w:fill="auto"/>
        <w:bidi w:val="0"/>
        <w:spacing w:before="0" w:after="370" w:line="240" w:lineRule="auto"/>
        <w:ind w:left="0" w:right="0" w:firstLine="0"/>
        <w:jc w:val="right"/>
      </w:pPr>
      <w:r>
        <w:drawing>
          <wp:anchor distT="0" distB="0" distL="114300" distR="1918970" simplePos="0" relativeHeight="125829384" behindDoc="0" locked="0" layoutInCell="1" allowOverlap="1">
            <wp:simplePos x="0" y="0"/>
            <wp:positionH relativeFrom="page">
              <wp:posOffset>3125470</wp:posOffset>
            </wp:positionH>
            <wp:positionV relativeFrom="paragraph">
              <wp:posOffset>76200</wp:posOffset>
            </wp:positionV>
            <wp:extent cx="316865" cy="365760"/>
            <wp:wrapSquare wrapText="right"/>
            <wp:docPr id="42" name="Shape 42"/>
            <a:graphic xmlns:a="http://schemas.openxmlformats.org/drawingml/2006/main">
              <a:graphicData uri="http://schemas.openxmlformats.org/drawingml/2006/picture">
                <pic:pic xmlns:pic="http://schemas.openxmlformats.org/drawingml/2006/picture">
                  <pic:nvPicPr>
                    <pic:cNvPr id="43" name="Picture box 43"/>
                    <pic:cNvPicPr/>
                  </pic:nvPicPr>
                  <pic:blipFill>
                    <a:blip r:embed="rId29"/>
                    <a:stretch/>
                  </pic:blipFill>
                  <pic:spPr>
                    <a:xfrm>
                      <a:ext cx="316865" cy="3657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3521710</wp:posOffset>
                </wp:positionH>
                <wp:positionV relativeFrom="paragraph">
                  <wp:posOffset>146050</wp:posOffset>
                </wp:positionV>
                <wp:extent cx="1722120" cy="259080"/>
                <wp:wrapNone/>
                <wp:docPr id="44" name="Shape 4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0" type="#_x0000_t202" style="position:absolute;margin-left:277.30000000000001pt;margin-top:11.5pt;width:135.59999999999999pt;height:20.400000000000002pt;z-index:251657737;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А.С. Гелмутдинова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4"/>
          <w:color w:val="FFFFFF"/>
        </w:rPr>
        <w:t>СВЕДЕНИЯ О СЕРТИФИКАТЕ ЭП</w:t>
      </w:r>
    </w:p>
    <w:p>
      <w:pPr>
        <w:pStyle w:val="Style18"/>
        <w:keepNext w:val="0"/>
        <w:keepLines w:val="0"/>
        <w:widowControl w:val="0"/>
        <w:shd w:val="clear" w:color="auto" w:fill="auto"/>
        <w:bidi w:val="0"/>
        <w:spacing w:before="0" w:after="0"/>
        <w:ind w:right="0" w:firstLine="0"/>
        <w:jc w:val="left"/>
      </w:pPr>
      <w:r>
        <w:rPr>
          <w:rStyle w:val="CharStyle19"/>
        </w:rPr>
        <w:t xml:space="preserve">Кому выдан: </w:t>
      </w:r>
      <w:r>
        <w:rPr>
          <w:rStyle w:val="CharStyle19"/>
          <w:color w:val="000000"/>
        </w:rPr>
        <w:t>ГЕЛМУТДИНОВА АНАСТАСИЯ СЕРГЕЕВНА</w:t>
      </w:r>
      <w:r>
        <w:rPr>
          <w:rStyle w:val="CharStyle19"/>
          <w:color w:val="000000"/>
        </w:rPr>
        <w:t xml:space="preserve"> </w:t>
      </w:r>
      <w:r>
        <w:rPr>
          <w:rStyle w:val="CharStyle19"/>
        </w:rPr>
        <w:t xml:space="preserve">Сертификат </w:t>
      </w:r>
      <w:r>
        <w:rPr>
          <w:rStyle w:val="CharStyle19"/>
          <w:color w:val="292929"/>
        </w:rPr>
        <w:t xml:space="preserve">№ </w:t>
      </w:r>
      <w:r>
        <w:rPr>
          <w:rStyle w:val="CharStyle19"/>
        </w:rPr>
        <w:t>723501СС21703599976371</w:t>
      </w:r>
      <w:r>
        <w:rPr>
          <w:rStyle w:val="CharStyle19"/>
          <w:lang w:val="en-US" w:eastAsia="en-US"/>
        </w:rPr>
        <w:t>4F5C652689</w:t>
      </w:r>
    </w:p>
    <w:p>
      <w:pPr>
        <w:pStyle w:val="Style18"/>
        <w:keepNext w:val="0"/>
        <w:keepLines w:val="0"/>
        <w:widowControl w:val="0"/>
        <w:shd w:val="clear" w:color="auto" w:fill="auto"/>
        <w:bidi w:val="0"/>
        <w:spacing w:before="0" w:after="4100"/>
        <w:ind w:right="0" w:firstLine="0"/>
        <w:jc w:val="left"/>
      </w:pPr>
      <w:r>
        <w:rPr>
          <w:rStyle w:val="CharStyle19"/>
        </w:rPr>
        <w:t xml:space="preserve">Действителен с 09.02.2026 </w:t>
      </w:r>
      <w:r>
        <w:rPr>
          <w:rStyle w:val="CharStyle19"/>
          <w:color w:val="5E5E5E"/>
        </w:rPr>
        <w:t xml:space="preserve">по </w:t>
      </w:r>
      <w:r>
        <w:rPr>
          <w:rStyle w:val="CharStyle19"/>
        </w:rPr>
        <w:t>05.05.2027</w:t>
      </w:r>
    </w:p>
    <w:p>
      <w:pPr>
        <w:pStyle w:val="Style25"/>
        <w:keepNext w:val="0"/>
        <w:keepLines w:val="0"/>
        <w:widowControl w:val="0"/>
        <w:shd w:val="clear" w:color="auto" w:fill="auto"/>
        <w:bidi w:val="0"/>
        <w:spacing w:before="0" w:line="240" w:lineRule="auto"/>
        <w:ind w:left="0" w:right="0" w:firstLine="0"/>
        <w:jc w:val="left"/>
      </w:pPr>
      <w:r>
        <w:rPr>
          <w:rStyle w:val="CharStyle26"/>
        </w:rPr>
        <w:t>Исп. Матюшенко А.А., 8(495) 784-75-05</w:t>
      </w:r>
    </w:p>
    <w:sectPr>
      <w:footnotePr>
        <w:pos w:val="pageBottom"/>
        <w:numFmt w:val="decimal"/>
        <w:numRestart w:val="continuous"/>
      </w:footnotePr>
      <w:type w:val="continuous"/>
      <w:pgSz w:w="11900" w:h="16840"/>
      <w:pgMar w:top="1158" w:right="532" w:bottom="1158"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726440</wp:posOffset>
              </wp:positionH>
              <wp:positionV relativeFrom="page">
                <wp:posOffset>10092690</wp:posOffset>
              </wp:positionV>
              <wp:extent cx="725170" cy="103505"/>
              <wp:wrapNone/>
              <wp:docPr id="6" name="Shape 6"/>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2026-24597</w:t>
                          </w:r>
                        </w:p>
                      </w:txbxContent>
                    </wps:txbx>
                    <wps:bodyPr wrap="none" lIns="0" tIns="0" rIns="0" bIns="0">
                      <a:spAutoFit/>
                    </wps:bodyPr>
                  </wps:wsp>
                </a:graphicData>
              </a:graphic>
            </wp:anchor>
          </w:drawing>
        </mc:Choice>
        <mc:Fallback>
          <w:pict>
            <v:shape id="_x0000_s1032" type="#_x0000_t202" style="position:absolute;margin-left:57.200000000000003pt;margin-top:794.70000000000005pt;width:57.100000000000001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2026-24597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720725</wp:posOffset>
              </wp:positionH>
              <wp:positionV relativeFrom="page">
                <wp:posOffset>10214610</wp:posOffset>
              </wp:positionV>
              <wp:extent cx="731520" cy="106680"/>
              <wp:wrapNone/>
              <wp:docPr id="8" name="Shape 8"/>
              <a:graphic xmlns:a="http://schemas.openxmlformats.org/drawingml/2006/main">
                <a:graphicData uri="http://schemas.microsoft.com/office/word/2010/wordprocessingShape">
                  <wps:wsp>
                    <wps:cNvSpPr txBox="1"/>
                    <wps:spPr>
                      <a:xfrm>
                        <a:ext cx="73152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2026-24597</w:t>
                          </w:r>
                        </w:p>
                      </w:txbxContent>
                    </wps:txbx>
                    <wps:bodyPr wrap="none" lIns="0" tIns="0" rIns="0" bIns="0">
                      <a:spAutoFit/>
                    </wps:bodyPr>
                  </wps:wsp>
                </a:graphicData>
              </a:graphic>
            </wp:anchor>
          </w:drawing>
        </mc:Choice>
        <mc:Fallback>
          <w:pict>
            <v:shape id="_x0000_s1034" type="#_x0000_t202" style="position:absolute;margin-left:56.75pt;margin-top:804.30000000000007pt;width:57.600000000000001pt;height:8.4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2026-24597</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726440</wp:posOffset>
              </wp:positionH>
              <wp:positionV relativeFrom="page">
                <wp:posOffset>10092690</wp:posOffset>
              </wp:positionV>
              <wp:extent cx="725170" cy="103505"/>
              <wp:wrapNone/>
              <wp:docPr id="20" name="Shape 20"/>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2026-24597</w:t>
                          </w:r>
                        </w:p>
                      </w:txbxContent>
                    </wps:txbx>
                    <wps:bodyPr wrap="none" lIns="0" tIns="0" rIns="0" bIns="0">
                      <a:spAutoFit/>
                    </wps:bodyPr>
                  </wps:wsp>
                </a:graphicData>
              </a:graphic>
            </wp:anchor>
          </w:drawing>
        </mc:Choice>
        <mc:Fallback>
          <w:pict>
            <v:shape id="_x0000_s1046" type="#_x0000_t202" style="position:absolute;margin-left:57.200000000000003pt;margin-top:794.70000000000005pt;width:57.100000000000001pt;height:8.15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2026-24597</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726440</wp:posOffset>
              </wp:positionH>
              <wp:positionV relativeFrom="page">
                <wp:posOffset>10092690</wp:posOffset>
              </wp:positionV>
              <wp:extent cx="725170" cy="103505"/>
              <wp:wrapNone/>
              <wp:docPr id="24" name="Shape 24"/>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2026-24597</w:t>
                          </w:r>
                        </w:p>
                      </w:txbxContent>
                    </wps:txbx>
                    <wps:bodyPr wrap="none" lIns="0" tIns="0" rIns="0" bIns="0">
                      <a:spAutoFit/>
                    </wps:bodyPr>
                  </wps:wsp>
                </a:graphicData>
              </a:graphic>
            </wp:anchor>
          </w:drawing>
        </mc:Choice>
        <mc:Fallback>
          <w:pict>
            <v:shape id="_x0000_s1050" type="#_x0000_t202" style="position:absolute;margin-left:57.200000000000003pt;margin-top:794.70000000000005pt;width:57.100000000000001pt;height:8.1500000000000004pt;z-index:-18874404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2026-24597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3924300</wp:posOffset>
              </wp:positionH>
              <wp:positionV relativeFrom="page">
                <wp:posOffset>509270</wp:posOffset>
              </wp:positionV>
              <wp:extent cx="73025" cy="69850"/>
              <wp:wrapNone/>
              <wp:docPr id="2" name="Shape 2"/>
              <a:graphic xmlns:a="http://schemas.openxmlformats.org/drawingml/2006/main">
                <a:graphicData uri="http://schemas.microsoft.com/office/word/2010/wordprocessingShape">
                  <wps:wsp>
                    <wps:cNvSpPr txBox="1"/>
                    <wps:spPr>
                      <a:xfrm>
                        <a:ext cx="7302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pt;margin-top:40.100000000000001pt;width:5.75pt;height:5.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3924300</wp:posOffset>
              </wp:positionH>
              <wp:positionV relativeFrom="page">
                <wp:posOffset>431800</wp:posOffset>
              </wp:positionV>
              <wp:extent cx="76200" cy="69850"/>
              <wp:wrapNone/>
              <wp:docPr id="4" name="Shape 4"/>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0" type="#_x0000_t202" style="position:absolute;margin-left:309.pt;margin-top:34.pt;width:6.pt;height:5.5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3924300</wp:posOffset>
              </wp:positionH>
              <wp:positionV relativeFrom="page">
                <wp:posOffset>509270</wp:posOffset>
              </wp:positionV>
              <wp:extent cx="73025" cy="69850"/>
              <wp:wrapNone/>
              <wp:docPr id="14" name="Shape 14"/>
              <a:graphic xmlns:a="http://schemas.openxmlformats.org/drawingml/2006/main">
                <a:graphicData uri="http://schemas.microsoft.com/office/word/2010/wordprocessingShape">
                  <wps:wsp>
                    <wps:cNvSpPr txBox="1"/>
                    <wps:spPr>
                      <a:xfrm>
                        <a:ext cx="7302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0" type="#_x0000_t202" style="position:absolute;margin-left:309.pt;margin-top:40.100000000000001pt;width:5.75pt;height:5.5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3924300</wp:posOffset>
              </wp:positionH>
              <wp:positionV relativeFrom="page">
                <wp:posOffset>509270</wp:posOffset>
              </wp:positionV>
              <wp:extent cx="73025" cy="69850"/>
              <wp:wrapNone/>
              <wp:docPr id="16" name="Shape 16"/>
              <a:graphic xmlns:a="http://schemas.openxmlformats.org/drawingml/2006/main">
                <a:graphicData uri="http://schemas.microsoft.com/office/word/2010/wordprocessingShape">
                  <wps:wsp>
                    <wps:cNvSpPr txBox="1"/>
                    <wps:spPr>
                      <a:xfrm>
                        <a:ext cx="7302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2" type="#_x0000_t202" style="position:absolute;margin-left:309.pt;margin-top:40.100000000000001pt;width:5.75pt;height:5.5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3924300</wp:posOffset>
              </wp:positionH>
              <wp:positionV relativeFrom="page">
                <wp:posOffset>431800</wp:posOffset>
              </wp:positionV>
              <wp:extent cx="76200" cy="69850"/>
              <wp:wrapNone/>
              <wp:docPr id="18" name="Shape 18"/>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4" type="#_x0000_t202" style="position:absolute;margin-left:309.pt;margin-top:34.pt;width:6.pt;height:5.5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3924300</wp:posOffset>
              </wp:positionH>
              <wp:positionV relativeFrom="page">
                <wp:posOffset>431800</wp:posOffset>
              </wp:positionV>
              <wp:extent cx="76200" cy="69850"/>
              <wp:wrapNone/>
              <wp:docPr id="22" name="Shape 22"/>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8" type="#_x0000_t202" style="position:absolute;margin-left:309.pt;margin-top:34.pt;width:6.pt;height:5.5pt;z-index:-1887440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Heading #1_"/>
    <w:basedOn w:val="DefaultParagraphFont"/>
    <w:link w:val="Style12"/>
    <w:rPr>
      <w:rFonts w:ascii="Arial" w:eastAsia="Arial" w:hAnsi="Arial" w:cs="Arial"/>
      <w:b w:val="0"/>
      <w:bCs w:val="0"/>
      <w:i w:val="0"/>
      <w:iCs w:val="0"/>
      <w:smallCaps w:val="0"/>
      <w:strike w:val="0"/>
      <w:sz w:val="32"/>
      <w:szCs w:val="32"/>
      <w:u w:val="none"/>
      <w:lang w:val="en-US" w:eastAsia="en-US"/>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9">
    <w:name w:val="Body text (2)_"/>
    <w:basedOn w:val="DefaultParagraphFont"/>
    <w:link w:val="Style18"/>
    <w:rPr>
      <w:rFonts w:ascii="Arial" w:eastAsia="Arial" w:hAnsi="Arial" w:cs="Arial"/>
      <w:b w:val="0"/>
      <w:bCs w:val="0"/>
      <w:i w:val="0"/>
      <w:iCs w:val="0"/>
      <w:smallCaps w:val="0"/>
      <w:strike w:val="0"/>
      <w:color w:val="434343"/>
      <w:sz w:val="12"/>
      <w:szCs w:val="12"/>
      <w:u w:val="none"/>
    </w:rPr>
  </w:style>
  <w:style w:type="character" w:customStyle="1" w:styleId="CharStyle24">
    <w:name w:val="Body text (5)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6">
    <w:name w:val="Body text (4)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3)"/>
    <w:basedOn w:val="Normal"/>
    <w:link w:val="CharStyle6"/>
    <w:pPr>
      <w:widowControl w:val="0"/>
      <w:shd w:val="clear" w:color="auto" w:fill="auto"/>
      <w:spacing w:after="23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9">
    <w:name w:val="Body text"/>
    <w:basedOn w:val="Normal"/>
    <w:link w:val="CharStyle10"/>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Heading #1"/>
    <w:basedOn w:val="Normal"/>
    <w:link w:val="CharStyle13"/>
    <w:pPr>
      <w:widowControl w:val="0"/>
      <w:shd w:val="clear" w:color="auto" w:fill="auto"/>
      <w:ind w:firstLine="360"/>
      <w:outlineLvl w:val="0"/>
    </w:pPr>
    <w:rPr>
      <w:rFonts w:ascii="Arial" w:eastAsia="Arial" w:hAnsi="Arial" w:cs="Arial"/>
      <w:b w:val="0"/>
      <w:bCs w:val="0"/>
      <w:i w:val="0"/>
      <w:iCs w:val="0"/>
      <w:smallCaps w:val="0"/>
      <w:strike w:val="0"/>
      <w:sz w:val="32"/>
      <w:szCs w:val="32"/>
      <w:u w:val="none"/>
      <w:lang w:val="en-US" w:eastAsia="en-US"/>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Body text (2)"/>
    <w:basedOn w:val="Normal"/>
    <w:link w:val="CharStyle19"/>
    <w:pPr>
      <w:widowControl w:val="0"/>
      <w:shd w:val="clear" w:color="auto" w:fill="auto"/>
      <w:spacing w:line="266" w:lineRule="auto"/>
      <w:ind w:left="3800"/>
    </w:pPr>
    <w:rPr>
      <w:rFonts w:ascii="Arial" w:eastAsia="Arial" w:hAnsi="Arial" w:cs="Arial"/>
      <w:b w:val="0"/>
      <w:bCs w:val="0"/>
      <w:i w:val="0"/>
      <w:iCs w:val="0"/>
      <w:smallCaps w:val="0"/>
      <w:strike w:val="0"/>
      <w:color w:val="434343"/>
      <w:sz w:val="12"/>
      <w:szCs w:val="12"/>
      <w:u w:val="none"/>
    </w:rPr>
  </w:style>
  <w:style w:type="paragraph" w:customStyle="1" w:styleId="Style23">
    <w:name w:val="Body text (5)"/>
    <w:basedOn w:val="Normal"/>
    <w:link w:val="CharStyle24"/>
    <w:pPr>
      <w:widowControl w:val="0"/>
      <w:shd w:val="clear" w:color="auto" w:fill="auto"/>
      <w:spacing w:after="80"/>
      <w:ind w:left="4500"/>
    </w:pPr>
    <w:rPr>
      <w:rFonts w:ascii="Georgia" w:eastAsia="Georgia" w:hAnsi="Georgia" w:cs="Georgia"/>
      <w:b w:val="0"/>
      <w:bCs w:val="0"/>
      <w:i w:val="0"/>
      <w:iCs w:val="0"/>
      <w:smallCaps w:val="0"/>
      <w:strike w:val="0"/>
      <w:color w:val="EBEBEB"/>
      <w:sz w:val="12"/>
      <w:szCs w:val="12"/>
      <w:u w:val="none"/>
    </w:rPr>
  </w:style>
  <w:style w:type="paragraph" w:customStyle="1" w:styleId="Style25">
    <w:name w:val="Body text (4)"/>
    <w:basedOn w:val="Normal"/>
    <w:link w:val="CharStyle26"/>
    <w:pPr>
      <w:widowControl w:val="0"/>
      <w:shd w:val="clear" w:color="auto" w:fill="auto"/>
      <w:spacing w:after="2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header" Target="header4.xml"/><Relationship Id="rId18" Type="http://schemas.openxmlformats.org/officeDocument/2006/relationships/footer" Target="footer4.xml"/><Relationship Id="rId19" Type="http://schemas.openxmlformats.org/officeDocument/2006/relationships/header" Target="header5.xml"/><Relationship Id="rId20" Type="http://schemas.openxmlformats.org/officeDocument/2006/relationships/footer" Target="footer5.xml"/><Relationship Id="rId21" Type="http://schemas.openxmlformats.org/officeDocument/2006/relationships/header" Target="header6.xml"/><Relationship Id="rId22" Type="http://schemas.openxmlformats.org/officeDocument/2006/relationships/footer" Target="footer6.xml"/><Relationship Id="rId23" Type="http://schemas.openxmlformats.org/officeDocument/2006/relationships/header" Target="header7.xml"/><Relationship Id="rId24" Type="http://schemas.openxmlformats.org/officeDocument/2006/relationships/footer" Target="footer7.xml"/><Relationship Id="rId25" Type="http://schemas.openxmlformats.org/officeDocument/2006/relationships/image" Target="media/image4.jpeg"/><Relationship Id="rId26" Type="http://schemas.openxmlformats.org/officeDocument/2006/relationships/image" Target="media/image4.jpeg" TargetMode="External"/><Relationship Id="rId27" Type="http://schemas.openxmlformats.org/officeDocument/2006/relationships/image" Target="media/image5.jpeg"/><Relationship Id="rId28" Type="http://schemas.openxmlformats.org/officeDocument/2006/relationships/image" Target="media/image5.jpeg" TargetMode="External"/><Relationship Id="rId29" Type="http://schemas.openxmlformats.org/officeDocument/2006/relationships/image" Target="media/image6.jpeg"/><Relationship Id="rId30" Type="http://schemas.openxmlformats.org/officeDocument/2006/relationships/image" Target="media/image6.jpeg" TargetMode="External"/></Relationships>
</file>