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20.05.2026</w:t>
      </w:r>
      <w:r>
        <w:fldChar w:fldCharType="end"/>
      </w:r>
      <w:r>
        <w:rPr>
          <w:rStyle w:val="CharStyle10"/>
        </w:rPr>
        <w:tab/>
        <w:t>№ 21576/26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ФГБУ «РНЦРР» Минздрава России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"mailto:torgirncrr@gmail.com" </w:instrText>
      </w:r>
      <w:r>
        <w:fldChar w:fldCharType="separate"/>
      </w:r>
      <w:r>
        <w:rPr>
          <w:rStyle w:val="CharStyle12"/>
          <w:lang w:val="en-US" w:eastAsia="en-US"/>
        </w:rPr>
        <w:t>torgirncrr@gmail.com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ООО «Высота»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189" w:bottom="708" w:left="1264" w:header="0" w:footer="3" w:gutter="0"/>
          <w:pgNumType w:start="1"/>
          <w:cols w:num="2" w:space="720" w:equalWidth="0">
            <w:col w:w="3835" w:space="1306"/>
            <w:col w:w="4306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"mailto:v-med2025@yandex.ru" </w:instrText>
      </w:r>
      <w:r>
        <w:fldChar w:fldCharType="separate"/>
      </w:r>
      <w:r>
        <w:rPr>
          <w:rStyle w:val="CharStyle12"/>
          <w:lang w:val="en-US" w:eastAsia="en-US"/>
        </w:rPr>
        <w:t>v-med2025@yandex.ru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8" w:after="7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0" w:bottom="63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077/06/105-6108/2026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15.05.2026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специалиста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Ведущего специалиста-эксперта отдела обжалования государственных закупок А.А. Леоновой,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А.С. Переверзевой,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ФГБУ «РНЦРР» Минздрава России: В.Б. Ким (по доверенности </w:t>
      </w:r>
      <w:r>
        <w:rPr>
          <w:rStyle w:val="CharStyle12"/>
          <w:lang w:val="en-US" w:eastAsia="en-US"/>
        </w:rPr>
        <w:t xml:space="preserve">№ 10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02.02.2026), </w:t>
      </w:r>
      <w:r>
        <w:rPr>
          <w:rStyle w:val="CharStyle12"/>
        </w:rPr>
        <w:t xml:space="preserve">Ю.И. Димитриевой (по доверенности </w:t>
      </w:r>
      <w:r>
        <w:rPr>
          <w:rStyle w:val="CharStyle12"/>
          <w:lang w:val="en-US" w:eastAsia="en-US"/>
        </w:rPr>
        <w:t xml:space="preserve">№ 9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02.02.2026),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ООО «Высота»: Т.А. Дубровкиной (по доверенности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б/н от </w:t>
      </w:r>
      <w:r>
        <w:rPr>
          <w:rStyle w:val="CharStyle12"/>
          <w:lang w:val="en-US" w:eastAsia="en-US"/>
        </w:rPr>
        <w:t>17.12.2025),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ООО «Высота»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ФГБУ «РНЦРР» Минздрава России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медицинских изделий (Закупка </w:t>
      </w:r>
      <w:r>
        <w:rPr>
          <w:rStyle w:val="CharStyle12"/>
          <w:lang w:val="en-US" w:eastAsia="en-US"/>
        </w:rPr>
        <w:t xml:space="preserve">№ 0373100032626000245)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электронный аукцион, 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889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88900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Согласно п.1 ч.2 ст.42 Закона о контрактной системе извещение об осуществлении закупки должно содержать описание объекта закупки в соответствии со 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76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ст.33 Закона о контрактной системе установлено, что Заказчик при описании объекта закупки должен руководствоваться следующими правилами: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9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сопровождение такого указания словами «или эквивалент»;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9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4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6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9" w:val="left"/>
        </w:tabs>
        <w:bidi w:val="0"/>
        <w:spacing w:before="0" w:after="0" w:line="240" w:lineRule="auto"/>
        <w:ind w:left="0" w:right="0" w:firstLine="66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535" w:bottom="632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</w:t>
      </w:r>
      <w:r>
        <w:rPr>
          <w:rStyle w:val="CharStyle12"/>
          <w:sz w:val="24"/>
          <w:szCs w:val="24"/>
          <w:lang w:val="en-US" w:eastAsia="en-US"/>
        </w:rPr>
        <w:t>2026-24874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соответствии с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По мнению Заявителя, совокупность установленных параметров для товаров по п.2 «Держатель/электрод электрохирургический для открытых операций, биполярный, одноразового использования» соответствует товару единственного производителя, а именно: Устройство для тонзиллэктомии </w:t>
      </w:r>
      <w:r>
        <w:rPr>
          <w:rStyle w:val="CharStyle12"/>
          <w:lang w:val="en-US" w:eastAsia="en-US"/>
        </w:rPr>
        <w:t xml:space="preserve">BiZact, </w:t>
      </w:r>
      <w:r>
        <w:rPr>
          <w:rStyle w:val="CharStyle12"/>
        </w:rPr>
        <w:t xml:space="preserve">усовершенствованный биполярный инструмент для соединения и рассечения тканей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мм-12 см одноразовый, стерильный, артикул </w:t>
      </w:r>
      <w:r>
        <w:rPr>
          <w:rStyle w:val="CharStyle12"/>
          <w:lang w:val="en-US" w:eastAsia="en-US"/>
        </w:rPr>
        <w:t xml:space="preserve">BZ4212, </w:t>
      </w:r>
      <w:r>
        <w:rPr>
          <w:rStyle w:val="CharStyle12"/>
        </w:rPr>
        <w:t xml:space="preserve">производителя </w:t>
      </w:r>
      <w:r>
        <w:rPr>
          <w:rStyle w:val="CharStyle12"/>
          <w:lang w:val="en-US" w:eastAsia="en-US"/>
        </w:rPr>
        <w:t xml:space="preserve">Covidien llc, USA </w:t>
      </w:r>
      <w:r>
        <w:rPr>
          <w:rStyle w:val="CharStyle12"/>
        </w:rPr>
        <w:t xml:space="preserve">(«Ковидиен ллс»), страна происхождения: Соединенные Штаты Америки, регистрационное удостоверение РЗН </w:t>
      </w:r>
      <w:r>
        <w:rPr>
          <w:rStyle w:val="CharStyle12"/>
          <w:lang w:val="en-US" w:eastAsia="en-US"/>
        </w:rPr>
        <w:t xml:space="preserve">2023/21173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19.12.2025.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При этом Заявитель указывает, что ограничивающим требованием является «Диаметр штока инструмента, (При выборе Форма изделия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Пистолет): </w:t>
      </w:r>
      <w:r>
        <w:rPr>
          <w:rStyle w:val="CharStyle12"/>
          <w:lang w:val="en-US" w:eastAsia="en-US"/>
        </w:rPr>
        <w:t xml:space="preserve">≤ 6 </w:t>
      </w:r>
      <w:r>
        <w:rPr>
          <w:rStyle w:val="CharStyle12"/>
        </w:rPr>
        <w:t>Миллиметр», так как, по мнению Заявителя, данной характеристики не существует, есть ширина штока инструмента, а не диаметр.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На заседании Комиссии Управления представители Заказчика пояснили, что Заказчиком в извещении установлено требование «Совместимость с электрохирургическим оборудованием </w:t>
      </w:r>
      <w:r>
        <w:rPr>
          <w:rStyle w:val="CharStyle12"/>
          <w:lang w:val="en-US" w:eastAsia="en-US"/>
        </w:rPr>
        <w:t xml:space="preserve">Covidien Valleylab*, </w:t>
      </w:r>
      <w:r>
        <w:rPr>
          <w:rStyle w:val="CharStyle12"/>
        </w:rPr>
        <w:t xml:space="preserve">имеющими режим лигирования сосудов», так как оборудование имеющиеся у Заказчика находится на гарантии «Платформа энергетическая серии </w:t>
      </w:r>
      <w:r>
        <w:rPr>
          <w:rStyle w:val="CharStyle12"/>
          <w:lang w:val="en-US" w:eastAsia="en-US"/>
        </w:rPr>
        <w:t xml:space="preserve">FT Valleylab FT10 </w:t>
      </w:r>
      <w:r>
        <w:rPr>
          <w:rStyle w:val="CharStyle12"/>
        </w:rPr>
        <w:t xml:space="preserve">с принадлежностями», производства </w:t>
      </w:r>
      <w:r>
        <w:rPr>
          <w:rStyle w:val="CharStyle12"/>
          <w:lang w:val="en-US" w:eastAsia="en-US"/>
        </w:rPr>
        <w:t xml:space="preserve">Covidien LLC, USA </w:t>
      </w:r>
      <w:r>
        <w:rPr>
          <w:rStyle w:val="CharStyle12"/>
        </w:rPr>
        <w:t xml:space="preserve">(«Ковидиен ЛЛС», США), регистрационное удостоверение РЗН </w:t>
      </w:r>
      <w:r>
        <w:rPr>
          <w:rStyle w:val="CharStyle12"/>
          <w:lang w:val="en-US" w:eastAsia="en-US"/>
        </w:rPr>
        <w:t xml:space="preserve">2017/5614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23.04.2026.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В подтверждение своей позиции представители Заказчика предоставили Договор целевого пожертвования материальных ценностей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2110-ДП-25 от </w:t>
      </w:r>
      <w:r>
        <w:rPr>
          <w:rStyle w:val="CharStyle12"/>
          <w:lang w:val="en-US" w:eastAsia="en-US"/>
        </w:rPr>
        <w:t xml:space="preserve">08.10.2025 </w:t>
      </w:r>
      <w:r>
        <w:rPr>
          <w:rStyle w:val="CharStyle12"/>
        </w:rPr>
        <w:t>в п.3.7 которого указано, что «Одаряемый» обязан использовать расходные материалы в соответствии с рекомендациями производителя оборудования.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Также предоставлен гарантийный талон </w:t>
      </w:r>
      <w:r>
        <w:rPr>
          <w:rStyle w:val="CharStyle12"/>
          <w:lang w:val="en-US" w:eastAsia="en-US"/>
        </w:rPr>
        <w:t xml:space="preserve">№ 11267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21.10.25 </w:t>
      </w:r>
      <w:r>
        <w:rPr>
          <w:rStyle w:val="CharStyle12"/>
        </w:rPr>
        <w:t xml:space="preserve">сроком на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месяца.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На странице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 xml:space="preserve">инструкции размещенной на сайте Росздравнадзора на регистрационное удостоверение РЗН </w:t>
      </w:r>
      <w:r>
        <w:rPr>
          <w:rStyle w:val="CharStyle12"/>
          <w:lang w:val="en-US" w:eastAsia="en-US"/>
        </w:rPr>
        <w:t xml:space="preserve">2017/5614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23.04.2026 </w:t>
      </w:r>
      <w:r>
        <w:rPr>
          <w:rStyle w:val="CharStyle12"/>
        </w:rPr>
        <w:t xml:space="preserve">сказано, что данная ограниченная гарантия не распространяется на повреждения, неисправности или случаи несовместимости, вызванные или возникшие в результате: </w:t>
      </w:r>
      <w:r>
        <w:rPr>
          <w:rStyle w:val="CharStyle12"/>
          <w:lang w:val="en-US" w:eastAsia="en-US"/>
        </w:rPr>
        <w:t xml:space="preserve">(i) </w:t>
      </w:r>
      <w:r>
        <w:rPr>
          <w:rStyle w:val="CharStyle12"/>
        </w:rPr>
        <w:t xml:space="preserve">использования Клиентом ПО в нарушение условий данного Лицензионного соглашения или способом, не соответствующим какой-либо Документации или инструкциям, предоставленным </w:t>
      </w:r>
      <w:r>
        <w:rPr>
          <w:rStyle w:val="CharStyle12"/>
          <w:lang w:val="en-US" w:eastAsia="en-US"/>
        </w:rPr>
        <w:t xml:space="preserve">Covidien; (ii) </w:t>
      </w:r>
      <w:r>
        <w:rPr>
          <w:rStyle w:val="CharStyle12"/>
        </w:rPr>
        <w:t xml:space="preserve">использования оборудования или Продуктов соборудованием, программным обеспечением или аппаратурой производителей, отличных от </w:t>
      </w:r>
      <w:r>
        <w:rPr>
          <w:rStyle w:val="CharStyle12"/>
          <w:lang w:val="en-US" w:eastAsia="en-US"/>
        </w:rPr>
        <w:t xml:space="preserve">Covidien; (iii) </w:t>
      </w:r>
      <w:r>
        <w:rPr>
          <w:rStyle w:val="CharStyle12"/>
        </w:rPr>
        <w:t xml:space="preserve">несоблюдения Клиентом инструкций </w:t>
      </w:r>
      <w:r>
        <w:rPr>
          <w:rStyle w:val="CharStyle12"/>
          <w:lang w:val="en-US" w:eastAsia="en-US"/>
        </w:rPr>
        <w:t xml:space="preserve">Covidien </w:t>
      </w:r>
      <w:r>
        <w:rPr>
          <w:rStyle w:val="CharStyle12"/>
        </w:rPr>
        <w:t xml:space="preserve">по установке, эксплуатации, ремонту или техническому обслуживанию; </w:t>
      </w:r>
      <w:r>
        <w:rPr>
          <w:rStyle w:val="CharStyle12"/>
          <w:lang w:val="en-US" w:eastAsia="en-US"/>
        </w:rPr>
        <w:t xml:space="preserve">(iv) </w:t>
      </w:r>
      <w:r>
        <w:rPr>
          <w:rStyle w:val="CharStyle12"/>
        </w:rPr>
        <w:t xml:space="preserve">неспособности Клиента предоставить своевременный удаленный или иной доступ </w:t>
      </w:r>
      <w:r>
        <w:rPr>
          <w:rStyle w:val="CharStyle12"/>
          <w:lang w:val="en-US" w:eastAsia="en-US"/>
        </w:rPr>
        <w:t xml:space="preserve">Covidien </w:t>
      </w:r>
      <w:r>
        <w:rPr>
          <w:rStyle w:val="CharStyle12"/>
        </w:rPr>
        <w:t xml:space="preserve">к Продуктам; </w:t>
      </w:r>
      <w:r>
        <w:rPr>
          <w:rStyle w:val="CharStyle12"/>
          <w:lang w:val="en-US" w:eastAsia="en-US"/>
        </w:rPr>
        <w:t xml:space="preserve">(v) </w:t>
      </w:r>
      <w:r>
        <w:rPr>
          <w:rStyle w:val="CharStyle12"/>
        </w:rPr>
        <w:t>неспособности применить к ПО все функции.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Также относительно наличия характеристики «Диаметр штока инструмента» представитель Заказчика представил коммерческие предложения (Исх. №441-П, </w:t>
      </w:r>
      <w:r>
        <w:rPr>
          <w:rStyle w:val="CharStyle12"/>
          <w:lang w:val="en-US" w:eastAsia="en-US"/>
        </w:rPr>
        <w:t xml:space="preserve">№890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28.04.2026, </w:t>
      </w:r>
      <w:r>
        <w:rPr>
          <w:rStyle w:val="CharStyle12"/>
        </w:rPr>
        <w:t xml:space="preserve">Исх. </w:t>
      </w:r>
      <w:r>
        <w:rPr>
          <w:rStyle w:val="CharStyle12"/>
          <w:lang w:val="en-US" w:eastAsia="en-US"/>
        </w:rPr>
        <w:t xml:space="preserve">№ 1199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29.04.2026).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Вместе с этим Комиссия Управления отмечает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В соответствии с ч.3 ст.38 Закона об основах охраны здоровья граждан обращение медицинских изделий включает в себя технические испытания, токсикологические исследования, клинические испытания, экспертизу качества, эффективности и безопасности медицинских изделий, их государственную регистрацию, производство, изготовление, ввоз на территорию Российской Федерации, вывоз с территории Российской Федерации, подтверждение соответствия, хранение, транспортировку, реализацию, монтаж, наладку, применение, эксплуатацию, в том числе техническое обслуживание, предусмотренное нормативной, технической и (или) эксплуатационной документацией производителя (изготовителя), а также ремонт, утилизацию или уничтожение. 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 Требования к содержанию технической и эксплуатационной документации производителя (изготовителя) медицинского изделия устанавливаются уполномоченным федеральным органом исполнительной власти.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Согласно ч.4 ст.38 Федерального закона от </w:t>
      </w:r>
      <w:r>
        <w:rPr>
          <w:rStyle w:val="CharStyle12"/>
          <w:lang w:val="en-US" w:eastAsia="en-US"/>
        </w:rPr>
        <w:t xml:space="preserve">21.11.2011 </w:t>
      </w:r>
      <w:r>
        <w:rPr>
          <w:rStyle w:val="CharStyle12"/>
        </w:rPr>
        <w:t xml:space="preserve">№323-ФЗ «Об основах охраны здоровья граждан в Российской Федерации»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об основах охраны здоровья граждан) на территории Российской Федерации разрешается обращение медицинских изделий, прошедших государственную регистрацию в порядке, установленном Правительством Российской Федерации, и медицинских изделий, прошедших регистрацию в соответствии с международными договорами и актами, составляющими право Евразийского экономического союза.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Вместе с этим, в соответствии с пунктом </w:t>
      </w: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>Особенностей обращения, включая особенности государственной регистрации, медицинских изделий в случае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12"/>
        </w:rPr>
        <w:t xml:space="preserve">их дефектуры или риска возникновения дефектуры в связи с введением в отношении Российской Федерации ограничительных мер экономического характера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Особенности), утвержденных п.1 Постановление Правительства РФ от </w:t>
      </w:r>
      <w:r>
        <w:rPr>
          <w:rStyle w:val="CharStyle12"/>
          <w:lang w:val="en-US" w:eastAsia="en-US"/>
        </w:rPr>
        <w:t xml:space="preserve">01.04.2022 №552 </w:t>
      </w:r>
      <w:r>
        <w:rPr>
          <w:rStyle w:val="CharStyle12"/>
        </w:rPr>
        <w:t>«Об утверждении особенностей обращения, включая особенности государственной регистрации,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характера», при обращении медицинских изделий, как включенных, так и не включенных в перечень медицинских изделий, не допускается ограничение взаимозаменяемости медицинских изделий путем использования специальных технических или программных средств или другими способами.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П.11 Особенностей определено, что возможно применение медицинского изделия, производителем (изготовителем) которого в эксплуатационной документации установлен ограниченный перечень расходных материалов, с расходным материалом иного производителя (изготовителя), зарегистрированным в качестве медицинского изделия, если производитель (изготовитель) подтвердил в процессе его государственной регистрации возможность совместного применения с данным медицинским изделием. При этом совместное применение медицинского изделия с расходным материалом осуществляется с учетом особенностей, установленных в эксплуатационной документации производителя (изготовителя) на расходный материал.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В соответствии с пунктом </w:t>
      </w:r>
      <w:r>
        <w:rPr>
          <w:rStyle w:val="CharStyle12"/>
          <w:lang w:val="en-US" w:eastAsia="en-US"/>
        </w:rPr>
        <w:t xml:space="preserve">3.2 </w:t>
      </w:r>
      <w:r>
        <w:rPr>
          <w:rStyle w:val="CharStyle12"/>
        </w:rPr>
        <w:t xml:space="preserve">ГОСТ </w:t>
      </w:r>
      <w:r>
        <w:rPr>
          <w:rStyle w:val="CharStyle12"/>
          <w:lang w:val="en-US" w:eastAsia="en-US"/>
        </w:rPr>
        <w:t xml:space="preserve">31508-2012 </w:t>
      </w:r>
      <w:r>
        <w:rPr>
          <w:rStyle w:val="CharStyle12"/>
        </w:rPr>
        <w:t>«Межгосударственный стандарт. Изделия медицинские. Классификация в зависимости от потенциального риска применения. Общие требования» принадлежностями являются предметы, самостоятельно не являющиеся медицинскими изделиями и по целевому назначению применяемые совместно с медицинскими изделиями либо в их составе для того, чтобы медицинское изделие могло быть использовано в соответствии с целевым назначением.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В соответствии с пунктом </w:t>
      </w:r>
      <w:r>
        <w:rPr>
          <w:rStyle w:val="CharStyle12"/>
          <w:lang w:val="en-US" w:eastAsia="en-US"/>
        </w:rPr>
        <w:t xml:space="preserve">11(1) </w:t>
      </w:r>
      <w:r>
        <w:rPr>
          <w:rStyle w:val="CharStyle12"/>
        </w:rPr>
        <w:t xml:space="preserve">Особенностей допускается проведение технического обслуживания медицинских изделий с использованием комплектующих или принадлежностей, не предусмотренных в их технической и (или) эксплуатационной документации производителя (изготовителя), если безопасность совместного использования подтверждена техническими испытаниями и в случае применимости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токсикологическими исследованиями, проведенными федеральным государственным бюджетным учреждением «Всероссийский научно-исследовательский и испытательный институт медицинской техники» Федеральной службы по надзору в сфере здравоохранения, а также клиническими испытаниями, проведенными в порядке, установленном в соответствии с ч.8 ст.38 Закона об основах охраны здоровья граждан.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Согласно ч.8 ст.38 Закона об основах охраны здоровья граждан в целях государственной регистрации медицинских изделий в порядке, установленном уполномоченным федеральным органом исполнительной власти, проводятся оценка соответствия в форме технических испытаний, токсикологических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12"/>
        </w:rPr>
        <w:t xml:space="preserve">исследований, клинических испытаний и экспертиза качества, эффективности и безопасности медицинских изделий, а также испытания в целях утверждения типа средств измерений (в отношении медицинских изделий, относящихся к средствам измерений в сфере государственного регулирования обеспечения единства измерений, перечень которых утверждается уполномоченным федеральным органом исполнительной власти).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инноваций, утверждаемой в соответствии с Федеральным законом от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2020 </w:t>
      </w:r>
      <w:r>
        <w:rPr>
          <w:rStyle w:val="CharStyle12"/>
        </w:rPr>
        <w:t>года №258-ФЗ «Об экспериментальных правовых режимах в сфере цифровых инноваций в Российской Федерации», с учетом требований, установленных правом Евразийского экономического союза.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80"/>
        <w:jc w:val="both"/>
      </w:pPr>
      <w:r>
        <w:rPr>
          <w:rStyle w:val="CharStyle12"/>
        </w:rPr>
        <w:t xml:space="preserve">Таким образом, Комиссия Управления приходит к выводу, что при эксплуатации медицинских изделий допускается применение комплектующих или принадлежностей, не предусмотренных в их технической и (или) эксплуатационной документации производителя (изготовителя), если безопасность совместного использования подтверждена техническими испытаниями и в случае применимости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токсикологическими исследованиями, проведенными федеральным государственным бюджетным учреждением «Всероссийский научно</w:t>
        <w:softHyphen/>
        <w:t>исследовательский и испытательный институт медицинской техники» Федеральной службы по надзору в сфере здравоохранения, а также клиническими испытаниями, проведенными в порядке, установленном в соответствии с ч.8 ст.38 Закона об основах охраны здоровья граждан.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80"/>
        <w:jc w:val="both"/>
      </w:pPr>
      <w:r>
        <w:rPr>
          <w:rStyle w:val="CharStyle12"/>
        </w:rPr>
        <w:t xml:space="preserve">Аналогичная позиция изложена в письме Росздравнадзора от </w:t>
      </w:r>
      <w:r>
        <w:rPr>
          <w:rStyle w:val="CharStyle12"/>
          <w:lang w:val="en-US" w:eastAsia="en-US"/>
        </w:rPr>
        <w:t xml:space="preserve">31.03.2023 №10-18368/23 </w:t>
      </w:r>
      <w:r>
        <w:rPr>
          <w:rStyle w:val="CharStyle12"/>
        </w:rPr>
        <w:t>«О предоставлении информации».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80"/>
        <w:jc w:val="both"/>
      </w:pPr>
      <w:r>
        <w:rPr>
          <w:rStyle w:val="CharStyle12"/>
        </w:rPr>
        <w:t>Вместе с тем в данном случае речь идёт не о фактической совместимости или несовместимости оборудования Заказчика и расходных материалов сторонних производителей, а о потребности Заказчика в сохранении гарантии на имеющееся у него оборудование.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80"/>
        <w:jc w:val="both"/>
      </w:pPr>
      <w:r>
        <w:rPr>
          <w:rStyle w:val="CharStyle12"/>
        </w:rPr>
        <w:t>Таким образом, в случае неисправности оборудования Заказчика, по причине использования расходных материалов не одобренных производителем оборудования, Заказчик будет лишён права бесплатного обслуживания и ремонта оборудования, на которое вправе рассчитывать.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80"/>
        <w:jc w:val="both"/>
      </w:pPr>
      <w:r>
        <w:rPr>
          <w:rStyle w:val="CharStyle12"/>
        </w:rPr>
        <w:t>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80"/>
        <w:jc w:val="both"/>
      </w:pPr>
      <w:r>
        <w:rPr>
          <w:rStyle w:val="CharStyle12"/>
        </w:rPr>
        <w:t>Закон о контрактной системе не содержит норм, ограничивающих право Заказчика включать описание объекта закупки требования, которые являются для него объективно значимыми, и, обязывающих Заказчика устанавливать в извещении,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Таким образом, при наличии у Заказчика потребности в получении определенных товаров, вести речь о необоснованном ограничении им количества потенциальных участников размещения закупки не приходится.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На основании изложенного, Комиссия Управления приходит к выводу о том, что вышеуказанный довод Заявителя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38" w:right="545" w:bottom="1085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Признать жалобу ООО «Высота» на действия ФГБУ «РНЦРР» Минздрава России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8" w:val="left"/>
        </w:tabs>
        <w:bidi w:val="0"/>
        <w:spacing w:before="0" w:after="240" w:line="240" w:lineRule="auto"/>
        <w:ind w:left="0" w:right="0" w:firstLine="700"/>
        <w:jc w:val="both"/>
      </w:pPr>
      <w:r>
        <w:rPr>
          <w:rStyle w:val="CharStyle12"/>
        </w:rPr>
        <w:t>Снять ограничения, наложенные на определения поставщика (подрядчика, исполнителя).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30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163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200000000000003pt;margin-top:10.pt;width:145.20000000000002pt;height:19.900000000000002pt;z-index:-125829374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1135" distB="0" distL="0" distR="1786255" simplePos="0" relativeHeight="125829381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191135</wp:posOffset>
            </wp:positionV>
            <wp:extent cx="359410" cy="530225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605790</wp:posOffset>
                </wp:positionV>
                <wp:extent cx="1283335" cy="10033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80.94999999999999pt;margin-top:47.7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288925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80000000000001pt;margin-top:22.7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1630" distL="0" distR="0" simplePos="0" relativeHeight="125829382" behindDoc="0" locked="0" layoutInCell="1" allowOverlap="1">
                <wp:simplePos x="0" y="0"/>
                <wp:positionH relativeFrom="page">
                  <wp:posOffset>5914390</wp:posOffset>
                </wp:positionH>
                <wp:positionV relativeFrom="paragraph">
                  <wp:posOffset>127000</wp:posOffset>
                </wp:positionV>
                <wp:extent cx="1304290" cy="25273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65.69999999999999pt;margin-top:10.pt;width:102.7pt;height:19.900000000000002pt;z-index:-125829371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</w:t>
      </w:r>
      <w:r>
        <w:rPr>
          <w:rStyle w:val="CharStyle19"/>
          <w:color w:val="565656"/>
        </w:rPr>
        <w:t xml:space="preserve">выдан: </w:t>
      </w:r>
      <w:r>
        <w:rPr>
          <w:rStyle w:val="CharStyle19"/>
          <w:color w:val="000000"/>
        </w:rPr>
        <w:t>МАРТЬЯНОВА ЕЛЕНА ДМИТРИЕВНА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00EA3D636CED58A70F15417FA130B2F6C</w:t>
      </w:r>
      <w:r>
        <w:rPr>
          <w:rStyle w:val="CharStyle19"/>
          <w:lang w:val="en-US" w:eastAsia="en-US"/>
        </w:rPr>
        <w:t>B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9"/>
        </w:rPr>
        <w:t xml:space="preserve">Действителен с </w:t>
      </w:r>
      <w:r>
        <w:rPr>
          <w:rStyle w:val="CharStyle19"/>
          <w:color w:val="565656"/>
        </w:rPr>
        <w:t>20.04.2026 по 14.07.2027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55000000000001pt;margin-top:11.700000000000001pt;width:135.84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Леонова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4"/>
          <w:color w:val="FFFFFF"/>
          <w:sz w:val="12"/>
          <w:szCs w:val="12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Леонова Алена Альбертовна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276EF4D805B62E966E204BCBEB72461C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5890260</wp:posOffset>
                </wp:positionH>
                <wp:positionV relativeFrom="paragraph">
                  <wp:posOffset>457200</wp:posOffset>
                </wp:positionV>
                <wp:extent cx="1329055" cy="252730"/>
                <wp:wrapSquare wrapText="bothSides"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905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Е.С. Переверзева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63.80000000000001pt;margin-top:36.pt;width:104.65000000000001pt;height:19.900000000000002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Е.С. Переверзева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9"/>
        </w:rPr>
        <w:t xml:space="preserve">Действителен с 05.12.2025 </w:t>
      </w:r>
      <w:r>
        <w:rPr>
          <w:rStyle w:val="CharStyle19"/>
          <w:color w:val="565656"/>
        </w:rPr>
        <w:t xml:space="preserve">по </w:t>
      </w:r>
      <w:r>
        <w:rPr>
          <w:rStyle w:val="CharStyle19"/>
        </w:rPr>
        <w:t>28.02.2027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4460" w:right="0" w:firstLine="0"/>
        <w:jc w:val="left"/>
      </w:pPr>
      <w:r>
        <w:rPr>
          <w:rStyle w:val="CharStyle24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4"/>
          <w:color w:val="FFFFFF"/>
          <w:sz w:val="12"/>
          <w:szCs w:val="12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ПЕРЕВЕРЗЕВА ЕЛИЗАВЕТА СЕРГЕЕВНА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00FFF3ACD3A01A73F4C680C3941</w:t>
      </w:r>
      <w:r>
        <w:rPr>
          <w:rStyle w:val="CharStyle19"/>
        </w:rPr>
        <w:t>ЕЗСА026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380" w:line="266" w:lineRule="auto"/>
        <w:ind w:right="0" w:firstLine="0"/>
        <w:jc w:val="left"/>
      </w:pPr>
      <w:r>
        <w:rPr>
          <w:rStyle w:val="CharStyle19"/>
        </w:rPr>
        <w:t xml:space="preserve">Действителен с 11.12.2025 </w:t>
      </w:r>
      <w:r>
        <w:rPr>
          <w:rStyle w:val="CharStyle19"/>
          <w:color w:val="565656"/>
        </w:rPr>
        <w:t xml:space="preserve">по </w:t>
      </w:r>
      <w:r>
        <w:rPr>
          <w:rStyle w:val="CharStyle19"/>
        </w:rPr>
        <w:t>06.03.2027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28345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2026-24874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30000000000007pt;width:57.3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2026-24874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8345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2026-24874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70000000000005pt;width:57.35000000000000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2026-24874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228600</wp:posOffset>
              </wp:positionV>
              <wp:extent cx="7620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5000000000003pt;margin-top:18.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473075</wp:posOffset>
              </wp:positionV>
              <wp:extent cx="73025" cy="8509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pt;margin-top:37.25pt;width:5.75pt;height:6.70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4"/>
      <w:numFmt w:val="decimal"/>
      <w:lvlText w:val="%1"/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7">
    <w:name w:val="Body text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100"/>
      <w:ind w:left="449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