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4067175</wp:posOffset>
                </wp:positionH>
                <wp:positionV relativeFrom="paragraph">
                  <wp:posOffset>551815</wp:posOffset>
                </wp:positionV>
                <wp:extent cx="1627505" cy="16827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27505" cy="1682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ФГБНУ «ЦНИИТ»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"mailto:a.gorodiskiy@ctri.ru"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a.gorodiskiy@ctri.ru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ООО ЧОП «ЧЕГАР»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"mailto:chop300@bk.ru"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chop300@bk.ru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3"/>
                              </w:rPr>
                              <w:t xml:space="preserve">АО «Сбербанк-АСТ»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"mailto:ko@sberbank-ast.ru"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3"/>
                                <w:lang w:val="en-US" w:eastAsia="en-US"/>
                              </w:rPr>
                              <w:t>ko@sberbank-ast.ru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20.25pt;margin-top:43.450000000000003pt;width:128.15000000000001pt;height:132.5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ФГБНУ «ЦНИИТ» </w:t>
                      </w:r>
                      <w:r>
                        <w:fldChar w:fldCharType="begin"/>
                      </w:r>
                      <w:r>
                        <w:rPr/>
                        <w:instrText> HYPERLINK "mailto:a.gorodiskiy@ctri.ru"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a.gorodiskiy@ctri.ru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ООО ЧОП «ЧЕГАР» </w:t>
                      </w:r>
                      <w:r>
                        <w:fldChar w:fldCharType="begin"/>
                      </w:r>
                      <w:r>
                        <w:rPr/>
                        <w:instrText> HYPERLINK "mailto:chop300@bk.ru"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chop300@bk.ru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3"/>
                        </w:rPr>
                        <w:t xml:space="preserve">АО «Сбербанк-АСТ» </w:t>
                      </w:r>
                      <w:r>
                        <w:fldChar w:fldCharType="begin"/>
                      </w:r>
                      <w:r>
                        <w:rPr/>
                        <w:instrText> HYPERLINK "mailto:ko@sberbank-ast.ru"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3"/>
                          <w:lang w:val="en-US" w:eastAsia="en-US"/>
                        </w:rPr>
                        <w:t>ko@sberbank-ast.ru</w:t>
                      </w:r>
                      <w:r>
                        <w:fldChar w:fldCharType="end"/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9640570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500" w:right="0" w:firstLine="880"/>
        <w:jc w:val="both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340" w:right="0" w:firstLine="0"/>
        <w:jc w:val="both"/>
      </w:pPr>
      <w:r>
        <w:rPr>
          <w:rStyle w:val="CharStyle5"/>
          <w:b/>
          <w:bCs/>
        </w:rPr>
        <w:t>УПРАВЛЕНИЕ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1560" w:right="0" w:firstLine="0"/>
        <w:jc w:val="both"/>
      </w:pPr>
      <w:r>
        <w:rPr>
          <w:rStyle w:val="CharStyle5"/>
          <w:b/>
          <w:bCs/>
        </w:rPr>
        <w:t>по г. Москве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5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5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5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rStyle w:val="CharStyle5"/>
        </w:rPr>
        <w:tab/>
        <w:t xml:space="preserve"> №</w:t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0"/>
        <w:jc w:val="both"/>
      </w:pPr>
      <w:r>
        <w:rPr>
          <w:rStyle w:val="CharStyle5"/>
        </w:rPr>
        <w:t xml:space="preserve">На№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8875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  <w:b/>
          <w:bCs/>
        </w:rPr>
        <w:t>по делу № 077/06/105-6115/2026 о нарушении</w:t>
        <w:br/>
        <w:t>законодательства о контрактной системе</w:t>
        <w:br/>
        <w:t>14.05.2026</w:t>
        <w:tab/>
        <w:t>г. Москва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Главного специалиста-эксперта отдела обжалования государственных закупок М.О. Мацневой,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Ведущего специалиста-эксперта отдела обжалования государственных закупок А.А. Леоновой,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при участии представителя ФГБНУ «ЦНИИТ»: А.Н. Городиского (по доверенности № 01-02-274 от 23.03.2026);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rStyle w:val="CharStyle3"/>
        </w:rPr>
        <w:t>в отсутствие представителей ООО ЧОП «ЧЕГАР», о времени и порядке заседания Комиссии Управления уведомленных надлежащим образом посредством размещения сведений в Единой информационной системе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94" w:right="541" w:bottom="702" w:left="1101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</w:rPr>
        <w:t>рассмотрев жалобу ООО ЧОП «ЧЕГАР» (далее — Заявитель) на действия ФГБНУ «ЦНИИТ» (далее — Заказчик) при проведении открытого конкурса в электронной форме на право заключения государственного контракта на оказание услуг по охране территории, зданий, сооружений, государственного имущества, товарно-материальных ценностей, обеспечение соблюдения пропускного режима на территории, требований пожарной безопасности на территории ФГБНУ «ЦНИИТ», расположенной по адресу: г. Москва, Яузская аллея, вл. 2 (Закупка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both"/>
      </w:pPr>
      <w:r>
        <w:rPr>
          <w:rStyle w:val="CharStyle3"/>
          <w:lang w:val="en-US" w:eastAsia="en-US"/>
        </w:rPr>
        <w:t xml:space="preserve">№ 0373100074526000083) </w:t>
      </w:r>
      <w:r>
        <w:rPr>
          <w:rStyle w:val="CharStyle3"/>
        </w:rPr>
        <w:t xml:space="preserve">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конкурс, электронный конкурс) в соответствии с Федеральным законом от </w:t>
      </w:r>
      <w:r>
        <w:rPr>
          <w:rStyle w:val="CharStyle3"/>
          <w:lang w:val="en-US" w:eastAsia="en-US"/>
        </w:rPr>
        <w:t xml:space="preserve">05.04.2013 № </w:t>
      </w:r>
      <w:r>
        <w:rPr>
          <w:rStyle w:val="CharStyle3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>Закон о контрактной системе),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  <w:b/>
          <w:bCs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. </w:t>
      </w:r>
      <w:r>
        <w:rPr>
          <w:rStyle w:val="CharStyle3"/>
        </w:rPr>
        <w:t xml:space="preserve">В составе жалобы Заявитель указывает на установление Заказчиком неправомерного порядка оценки заявок участников закупки по показателю «Наличие у участников закупки специалистов и иных работников определенного уровня квалификации </w:t>
      </w:r>
      <w:r>
        <w:rPr>
          <w:rStyle w:val="CharStyle3"/>
          <w:lang w:val="en-US" w:eastAsia="en-US"/>
        </w:rPr>
        <w:t xml:space="preserve">(НЦБквалифi)» </w:t>
      </w:r>
      <w:r>
        <w:rPr>
          <w:rStyle w:val="CharStyle3"/>
        </w:rPr>
        <w:t>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(НЦБ)».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.1 ст.32 Закона о контрактной системе установлено, что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6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3"/>
        </w:rPr>
        <w:t>цена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расходы на эксплуатацию и ремонт товаров, использование результатов работ;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качественные, функциональные и экологические характеристики объекта закупки;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силу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3"/>
        </w:rPr>
        <w:t>На основании ч.8 ст.32 Закона о контрактной системе порядок оценки заявок, окончательных предложений участников закупки, в том числе предельные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величины значимости каждого критерия, устанавливается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извещением об осуществлении закупки оценка заявок производится в соответствии с Постановлением Правительства РФ от </w:t>
      </w:r>
      <w:r>
        <w:rPr>
          <w:rStyle w:val="CharStyle3"/>
          <w:lang w:val="en-US" w:eastAsia="en-US"/>
        </w:rPr>
        <w:t xml:space="preserve">31.12.2021 № 2604 </w:t>
      </w:r>
      <w:r>
        <w:rPr>
          <w:rStyle w:val="CharStyle3"/>
        </w:rPr>
        <w:t xml:space="preserve">«Об оценке заявок на участие в закупке товаров, работ, услуг для обеспечения государственных и муниципальных нужд, внесении изменений в пункт </w:t>
      </w:r>
      <w:r>
        <w:rPr>
          <w:rStyle w:val="CharStyle3"/>
          <w:lang w:val="en-US" w:eastAsia="en-US"/>
        </w:rPr>
        <w:t xml:space="preserve">4 </w:t>
      </w:r>
      <w:r>
        <w:rPr>
          <w:rStyle w:val="CharStyle3"/>
        </w:rPr>
        <w:t xml:space="preserve">постановления Правительства Российской Федерации от </w:t>
      </w:r>
      <w:r>
        <w:rPr>
          <w:rStyle w:val="CharStyle3"/>
          <w:lang w:val="en-US" w:eastAsia="en-US"/>
        </w:rPr>
        <w:t xml:space="preserve">20 </w:t>
      </w:r>
      <w:r>
        <w:rPr>
          <w:rStyle w:val="CharStyle3"/>
        </w:rPr>
        <w:t xml:space="preserve">декабря </w:t>
      </w:r>
      <w:r>
        <w:rPr>
          <w:rStyle w:val="CharStyle3"/>
          <w:lang w:val="en-US" w:eastAsia="en-US"/>
        </w:rPr>
        <w:t xml:space="preserve">2021 </w:t>
      </w:r>
      <w:r>
        <w:rPr>
          <w:rStyle w:val="CharStyle3"/>
        </w:rPr>
        <w:t xml:space="preserve">г. </w:t>
      </w:r>
      <w:r>
        <w:rPr>
          <w:rStyle w:val="CharStyle3"/>
          <w:lang w:val="en-US" w:eastAsia="en-US"/>
        </w:rPr>
        <w:t xml:space="preserve">№ 2369 </w:t>
      </w:r>
      <w:r>
        <w:rPr>
          <w:rStyle w:val="CharStyle3"/>
        </w:rPr>
        <w:t xml:space="preserve">и признании утратившими силу некоторых актов и отдельных положений некоторых актов Правительства Российской Федерации» (далее </w:t>
      </w:r>
      <w:r>
        <w:rPr>
          <w:rStyle w:val="CharStyle3"/>
          <w:lang w:val="en-US" w:eastAsia="en-US"/>
        </w:rPr>
        <w:t xml:space="preserve">— </w:t>
      </w:r>
      <w:r>
        <w:rPr>
          <w:rStyle w:val="CharStyle3"/>
        </w:rPr>
        <w:t>Положение).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Согласно абз.1 п.2 Положения «оценка заявок»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В соответствии с п.24 Порядка для оценки заявок по критерию оценки «квалификация участников закупки» могут применяться, если иное не предусмотрено настоящим Порядком, один или несколько из следующих показателей оценки: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наличие у участников закупки финансовых ресурсов;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наличие у участников закупки деловой репутации;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Кроме того п.30 Положения в случае применения показателя оценки, указанного в пп. «д» п.24 Положения порядком оценки устанавливаются: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а) перечень специалистов и иных работников, их квалификация, оцениваемые по показателю, предусмотренному подпунктом «д» п. </w:t>
      </w:r>
      <w:r>
        <w:rPr>
          <w:rStyle w:val="CharStyle3"/>
          <w:lang w:val="en-US" w:eastAsia="en-US"/>
        </w:rPr>
        <w:t xml:space="preserve">24 </w:t>
      </w:r>
      <w:r>
        <w:rPr>
          <w:rStyle w:val="CharStyle3"/>
        </w:rPr>
        <w:t>настоящего Положения, и необходимые для поставки товара, выполнения работ, оказания услуг, являющихся объектом закупки;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б) перечень следующих информации (в том числе данных) и документов, подтверждающих квалификацию участника закупки, наличие специалистов и иных работников, их квалификацию, предусмотренные перечнем, установленным в соответствии с подпунктом «а» настоящего пункта: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-трудовая книжка или сведения о трудовой деятельности, предусмотренные статьей </w:t>
      </w:r>
      <w:r>
        <w:rPr>
          <w:rStyle w:val="CharStyle3"/>
          <w:lang w:val="en-US" w:eastAsia="en-US"/>
        </w:rPr>
        <w:t xml:space="preserve">66.1 </w:t>
      </w:r>
      <w:r>
        <w:rPr>
          <w:rStyle w:val="CharStyle3"/>
        </w:rPr>
        <w:t>Трудового кодекса Российской Федерации;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3"/>
        </w:rPr>
        <w:t>-информация (в том числе данные), результаты применения информационных технологий и документы, подтверждающие квалификацию участника закупки, его специалистов и иных работников, в том числе предусмотренную в соответствии с профессиональными стандартами (если соответствующий профессиональный стандарт обязателен для применения работодателями в соответствии с законодательством Российской Федерации)</w:t>
      </w:r>
      <w:r>
        <w:rPr>
          <w:rStyle w:val="CharStyle3"/>
          <w:i/>
          <w:iCs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Комиссией Управления определено, что согласно извещению о проведении открытого конкурса в электронной форме Заказчиком установлен, в том числе,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следующий порядок оценки заявок по показателю «Наличие у участников закупки специалистов и иных работников определенного уровня квалификации </w:t>
      </w:r>
      <w:r>
        <w:rPr>
          <w:rStyle w:val="CharStyle3"/>
          <w:lang w:val="en-US" w:eastAsia="en-US"/>
        </w:rPr>
        <w:t xml:space="preserve">(НЦБквалифi)» </w:t>
      </w:r>
      <w:r>
        <w:rPr>
          <w:rStyle w:val="CharStyle3"/>
        </w:rPr>
        <w:t>нестоимостного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 (НЦБ)»: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«</w:t>
      </w:r>
      <w:r>
        <w:rPr>
          <w:rStyle w:val="CharStyle3"/>
          <w:i/>
          <w:iCs/>
        </w:rPr>
        <w:t>При оценке по данному показателю анализируется информация участника конкурса о наличии сотрудников, являющимися частными охранниками 4-го, 5-го или 6-го разряда.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Подтверждением наличия в штате участника открытого конкурса специалистов в области охранной деятельности, служит предложение из таблицы </w:t>
      </w:r>
      <w:r>
        <w:rPr>
          <w:rStyle w:val="CharStyle3"/>
          <w:i/>
          <w:iCs/>
          <w:lang w:val="en-US" w:eastAsia="en-US"/>
        </w:rPr>
        <w:t xml:space="preserve">2. </w:t>
      </w:r>
      <w:r>
        <w:rPr>
          <w:rStyle w:val="CharStyle3"/>
          <w:i/>
          <w:iCs/>
        </w:rPr>
        <w:t xml:space="preserve">«Квалификация трудовых ресурсов, предлагаемых для оказания услуг» формы </w:t>
      </w:r>
      <w:r>
        <w:rPr>
          <w:rStyle w:val="CharStyle3"/>
          <w:i/>
          <w:iCs/>
          <w:lang w:val="en-US" w:eastAsia="en-US"/>
        </w:rPr>
        <w:t xml:space="preserve">2. </w:t>
      </w:r>
      <w:r>
        <w:rPr>
          <w:rStyle w:val="CharStyle3"/>
          <w:i/>
          <w:iCs/>
        </w:rPr>
        <w:t xml:space="preserve">«Документы, подтверждающие квалификацию участника открытого конкурса» Приложение </w:t>
      </w:r>
      <w:r>
        <w:rPr>
          <w:rStyle w:val="CharStyle3"/>
          <w:i/>
          <w:iCs/>
          <w:lang w:val="en-US" w:eastAsia="en-US"/>
        </w:rPr>
        <w:t xml:space="preserve">№ 4 </w:t>
      </w:r>
      <w:r>
        <w:rPr>
          <w:rStyle w:val="CharStyle3"/>
          <w:i/>
          <w:iCs/>
        </w:rPr>
        <w:t>к Извещению, с приложением следующих документов: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  <w:lang w:val="en-US" w:eastAsia="en-US"/>
        </w:rPr>
        <w:t xml:space="preserve">- </w:t>
      </w:r>
      <w:r>
        <w:rPr>
          <w:rStyle w:val="CharStyle3"/>
          <w:i/>
          <w:iCs/>
        </w:rPr>
        <w:t>заверенная руководителем организации или руководителем кадровой службы организации копии трудовых книжек, а также список специалистов с приложением копий удостоверений частного охранника, свидетельств о присвоении квалификации;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  <w:i/>
          <w:iCs/>
        </w:rPr>
        <w:t>При оценке по данному показателю информация участника конкурса о квалификации и опыте трудовых ресурсов засчитывается только при условии предоставления в качестве подтверждения всех вышеперечисленных документов в отношении каждого специалиста.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  <w:lang w:val="en-US" w:eastAsia="en-US"/>
        </w:rPr>
        <w:t xml:space="preserve">* </w:t>
      </w:r>
      <w:r>
        <w:rPr>
          <w:rStyle w:val="CharStyle3"/>
          <w:i/>
          <w:iCs/>
        </w:rPr>
        <w:t>Все документы должны быть представлены участником конкурса в составе заявки в полном объеме. При этом представленные документы должны быть в виде неповторяющихся, полно читаемых копий, на которых видны необходимые сведения, подписи и печати или электронные подписи.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>В случае непредставления в отношении специалистов хотя бы одного из вышеперечисленных документов либо представления документов, не соответствующих установленным настоящей конкурсной документацией требованиям, информация не засчитывается в отношении тех специалистов, по которым не представлены подтверждающие документы либо представлены документы, не соответствующие установленным требованиям. В том числе не читаемые документы.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При отсутствии в заявке на участие в открытом конкурсе информации о наличии квалификации трудовых ресурсов, предлагаемых для оказания услуг оформленной в соответствии с требованиями настоящей конкурсной документации, участник открытого конкурса получает </w:t>
      </w:r>
      <w:r>
        <w:rPr>
          <w:rStyle w:val="CharStyle3"/>
          <w:i/>
          <w:iCs/>
          <w:lang w:val="en-US" w:eastAsia="en-US"/>
        </w:rPr>
        <w:t xml:space="preserve">0 </w:t>
      </w:r>
      <w:r>
        <w:rPr>
          <w:rStyle w:val="CharStyle3"/>
          <w:i/>
          <w:iCs/>
        </w:rPr>
        <w:t>баллов по данному показателю.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  <w:i/>
          <w:iCs/>
          <w:lang w:val="en-US" w:eastAsia="en-US"/>
        </w:rPr>
        <w:t xml:space="preserve">Хmaxпред =45. </w:t>
      </w:r>
      <w:r>
        <w:rPr>
          <w:rStyle w:val="CharStyle3"/>
          <w:i/>
          <w:iCs/>
        </w:rPr>
        <w:t xml:space="preserve">Единица измерения по ОК </w:t>
      </w:r>
      <w:r>
        <w:rPr>
          <w:rStyle w:val="CharStyle3"/>
          <w:i/>
          <w:iCs/>
          <w:lang w:val="en-US" w:eastAsia="en-US"/>
        </w:rPr>
        <w:t xml:space="preserve">015-94 – </w:t>
      </w:r>
      <w:r>
        <w:rPr>
          <w:rStyle w:val="CharStyle3"/>
          <w:i/>
          <w:iCs/>
        </w:rPr>
        <w:t xml:space="preserve">Человек </w:t>
      </w:r>
      <w:r>
        <w:rPr>
          <w:rStyle w:val="CharStyle3"/>
          <w:i/>
          <w:iCs/>
          <w:lang w:val="en-US" w:eastAsia="en-US"/>
        </w:rPr>
        <w:t>(792)».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Заявитель в составе жалобы указывает, что Заказчиком порядок оценки заявок по показателю «Наличие у участников закупки специалистов и иных работников определенного уровня квалификации </w:t>
      </w:r>
      <w:r>
        <w:rPr>
          <w:rStyle w:val="CharStyle3"/>
          <w:lang w:val="en-US" w:eastAsia="en-US"/>
        </w:rPr>
        <w:t xml:space="preserve">(НЦБквалифi)» </w:t>
      </w:r>
      <w:r>
        <w:rPr>
          <w:rStyle w:val="CharStyle3"/>
        </w:rPr>
        <w:t>установлен в нарушение п.30 Положения, поскольку Заказчик для оценки по данному критерию имеет право требовать только трудовую книжку или сведения о трудовой деятельности и документ, подтверждающий наличии подготовки сотрудника по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стандарту «Работник по обеспечению охраны образовательных организаций». Заказчик не включил в критерий оценки возможность предоставить сведения о трудовой деятельности, предусмотренные статьей </w:t>
      </w:r>
      <w:r>
        <w:rPr>
          <w:rStyle w:val="CharStyle3"/>
          <w:lang w:val="en-US" w:eastAsia="en-US"/>
        </w:rPr>
        <w:t xml:space="preserve">66.1 </w:t>
      </w:r>
      <w:r>
        <w:rPr>
          <w:rStyle w:val="CharStyle3"/>
        </w:rPr>
        <w:t xml:space="preserve">Трудового кодекса Российской Федерации, а также неправомерно установил избыточное требование о предоставлении свидетельств о присвоении квалификации так как на странице </w:t>
      </w:r>
      <w:r>
        <w:rPr>
          <w:rStyle w:val="CharStyle3"/>
          <w:lang w:val="en-US" w:eastAsia="en-US"/>
        </w:rPr>
        <w:t xml:space="preserve">5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>удостоверения частного охранника в подразделениями лицензионно</w:t>
        <w:softHyphen/>
        <w:t>разрешительной службы Росгвардии вносится вся необходимая информация.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На заседании Комиссии Управления представитель Заказчика пояснил, что Заказчик, исходя из норм вышеуказанного постановления, может запросить у участника закупки что-то одно, или копию трудовой книжки или сведения о трудовой деятельности.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Заказчиком в п.4 Порядка рассмотрения им оценки заявок предусмотрено предоставление участником копий трудовых книжек специалистов.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Информация (в том числе данные), результаты применения информационных технологий и документы, подтверждающие квалификацию участника закупки, его специалистов и иных работников, в том числе предусмотренную в соответствии с профессиональными стандартами (если соответствующий профессиональный стандарт обязателен для применения работодателями в соответствии с законодательством Российской Федерации).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Заказчик является медицинской лечебной научной организацией и указанный в жалобе Заявителя профессиональный стандарт </w:t>
      </w:r>
      <w:r>
        <w:rPr>
          <w:rStyle w:val="CharStyle3"/>
          <w:lang w:val="en-US" w:eastAsia="en-US"/>
        </w:rPr>
        <w:t xml:space="preserve">683 </w:t>
      </w:r>
      <w:r>
        <w:rPr>
          <w:rStyle w:val="CharStyle3"/>
        </w:rPr>
        <w:t>«Работник по обеспечению охраны образовательных организаций» не может быть использован при оценке квалификации участника.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Заказчиком в п.4 Порядка рассмотрения им оценки заявок предусмотрено предоставление участником копий удостоверений частного охранника, свидетельств о присвоении квалификации.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В соответствии с п.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ст. </w:t>
      </w:r>
      <w:r>
        <w:rPr>
          <w:rStyle w:val="CharStyle3"/>
          <w:lang w:val="en-US" w:eastAsia="en-US"/>
        </w:rPr>
        <w:t xml:space="preserve">11.1 </w:t>
      </w:r>
      <w:r>
        <w:rPr>
          <w:rStyle w:val="CharStyle3"/>
        </w:rPr>
        <w:t xml:space="preserve">Закона РФ от </w:t>
      </w:r>
      <w:r>
        <w:rPr>
          <w:rStyle w:val="CharStyle3"/>
          <w:lang w:val="en-US" w:eastAsia="en-US"/>
        </w:rPr>
        <w:t xml:space="preserve">11 </w:t>
      </w:r>
      <w:r>
        <w:rPr>
          <w:rStyle w:val="CharStyle3"/>
        </w:rPr>
        <w:t xml:space="preserve">марта </w:t>
      </w:r>
      <w:r>
        <w:rPr>
          <w:rStyle w:val="CharStyle3"/>
          <w:lang w:val="en-US" w:eastAsia="en-US"/>
        </w:rPr>
        <w:t xml:space="preserve">1992 </w:t>
      </w:r>
      <w:r>
        <w:rPr>
          <w:rStyle w:val="CharStyle3"/>
        </w:rPr>
        <w:t xml:space="preserve">г. </w:t>
      </w:r>
      <w:r>
        <w:rPr>
          <w:rStyle w:val="CharStyle3"/>
          <w:lang w:val="en-US" w:eastAsia="en-US"/>
        </w:rPr>
        <w:t xml:space="preserve">№ 2487-1 </w:t>
      </w:r>
      <w:r>
        <w:rPr>
          <w:rStyle w:val="CharStyle3"/>
        </w:rPr>
        <w:t>«О частной детективной и охранной деятельности в Российской Федерации» право на приобретение правового статуса частного охранника предоставляется гражданам, прошедшим профессиональное обучение для работы в качестве частного охранника и сдавшим квалификационный экзамен, и подтверждается удостоверением частного охранника.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В данной норме закона удостоверение частного охранника подтверждает статус частного охранника, а не его квалификацию.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В соответствии с п. </w:t>
      </w:r>
      <w:r>
        <w:rPr>
          <w:rStyle w:val="CharStyle3"/>
          <w:lang w:val="en-US" w:eastAsia="en-US"/>
        </w:rPr>
        <w:t xml:space="preserve">9 </w:t>
      </w:r>
      <w:r>
        <w:rPr>
          <w:rStyle w:val="CharStyle3"/>
        </w:rPr>
        <w:t xml:space="preserve">Приложения </w:t>
      </w:r>
      <w:r>
        <w:rPr>
          <w:rStyle w:val="CharStyle3"/>
          <w:lang w:val="en-US" w:eastAsia="en-US"/>
        </w:rPr>
        <w:t xml:space="preserve">№ 6 </w:t>
      </w:r>
      <w:r>
        <w:rPr>
          <w:rStyle w:val="CharStyle3"/>
        </w:rPr>
        <w:t xml:space="preserve">Правила сдачи квалификационного экзамена к постановлению Правительства РФ от </w:t>
      </w:r>
      <w:r>
        <w:rPr>
          <w:rStyle w:val="CharStyle3"/>
          <w:lang w:val="en-US" w:eastAsia="en-US"/>
        </w:rPr>
        <w:t xml:space="preserve">14.08.1992 № 587 </w:t>
      </w:r>
      <w:r>
        <w:rPr>
          <w:rStyle w:val="CharStyle3"/>
        </w:rPr>
        <w:t xml:space="preserve">(ред. от </w:t>
      </w:r>
      <w:r>
        <w:rPr>
          <w:rStyle w:val="CharStyle3"/>
          <w:lang w:val="en-US" w:eastAsia="en-US"/>
        </w:rPr>
        <w:t xml:space="preserve">16.09.2025) </w:t>
      </w:r>
      <w:r>
        <w:rPr>
          <w:rStyle w:val="CharStyle3"/>
        </w:rPr>
        <w:t xml:space="preserve">«Вопросы частной детективной (сыскной) и частной охранной деятельности» по итогам экзамена не позднее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рабочих дней со дня принятия комиссией соответствующего решения выдается документ о квалификации, в который включаются сведения о разряде (классе, категории), установленном по результатам профессионального обучения.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Таким образом, по мнению Заказчика, удостоверение частного охранника является документом, подтверждающим статус частного охранника, а свидетельство о присвоении квалификации является документом, подтверждающим разряд (класс, категорию) установленный по результатам обучения. Причем частный охранник, имея удостоверение частного охранника, может неоднократно проходить обучение, повышая тем самым свой разряд (класс, категорию).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 xml:space="preserve">Вместе с тем, Комиссия Управления отмечает, что установленный порядок оценки не соответствует порядку, установленному п.30 Положения, согласно которому, для оценки по данному критерию предоставляется или трудовая книжка или сведения о трудовой деятельности, предусмотренные статьей </w:t>
      </w:r>
      <w:r>
        <w:rPr>
          <w:rStyle w:val="CharStyle3"/>
          <w:lang w:val="en-US" w:eastAsia="en-US"/>
        </w:rPr>
        <w:t xml:space="preserve">66.1 </w:t>
      </w:r>
      <w:r>
        <w:rPr>
          <w:rStyle w:val="CharStyle3"/>
        </w:rPr>
        <w:t>Трудового кодекса Российской Федерации, более того, именно удостоверение частного охранника является документом подтверждающим как правоспособность частного охранника, так и его квалификацию предусмотренную в соответствии с профессиональными стандартами, при этом, удостоверение также содержит информацию о разряде специалиста.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При таких данных Комиссия Управления приходит к выводу о нарушении ч.8 ст.32, п.11 ч.1 ст.42 Закона о контрактной системе при установлении порядка оценки подобным образом,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  <w:lang w:val="en-US" w:eastAsia="en-US"/>
        </w:rPr>
        <w:t xml:space="preserve">2. </w:t>
      </w:r>
      <w:r>
        <w:rPr>
          <w:rStyle w:val="CharStyle3"/>
        </w:rPr>
        <w:t>Также в составе жалобы Заявитель указывает на установление Заказчиком неправомерного порядка оценки заявок участников закупки по показателю «Предложения по организационно-технологической схеме оказания услуг и предложение участника по предотвращению внештатных ситуаций» нестоимостного критерия «Характеристика объекта закупки, в том числе «качественные, функциональные и экологические характеристики объекта закупки» ОЦБ».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Заявитель в составе жалобы указывает, что вышеуказанный порядок оценки содержит требование о предоставлении документов содержащих в себе информацию об участнике закупки которому принадлежит заявка, что в свою очередь повлечёт отклонение заявок на основании п.2 ч.5 ст.48 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Согласно порядку оценки заявок, размещенного в составе извещения Заказчиком установлен, в том числе следующий порядок оценки по показателю «Предложения по организационно-технологической схеме оказания услуг и предложение участника по предотвращению внештатных ситуаций» нестоимостного критерия «Характеристика объекта закупки, в том числе «качественные, функциональные и экологические характеристики объекта закупки» ОЦБ».: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</w:rPr>
        <w:t>«О</w:t>
      </w:r>
      <w:r>
        <w:rPr>
          <w:rStyle w:val="CharStyle3"/>
          <w:i/>
          <w:iCs/>
        </w:rPr>
        <w:t xml:space="preserve">ценка заявок осуществляется по шкале оценки в соответствии с пунктом </w:t>
      </w:r>
      <w:r>
        <w:rPr>
          <w:rStyle w:val="CharStyle3"/>
          <w:i/>
          <w:iCs/>
          <w:lang w:val="en-US" w:eastAsia="en-US"/>
        </w:rPr>
        <w:t xml:space="preserve">22 </w:t>
      </w:r>
      <w:r>
        <w:rPr>
          <w:rStyle w:val="CharStyle3"/>
          <w:i/>
          <w:iCs/>
        </w:rPr>
        <w:t>Положения: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4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3"/>
          <w:i/>
          <w:iCs/>
        </w:rPr>
        <w:t xml:space="preserve">Предложение о наличии характеристики объекта закупки </w:t>
      </w:r>
      <w:r>
        <w:rPr>
          <w:rStyle w:val="CharStyle3"/>
          <w:i/>
          <w:iCs/>
          <w:lang w:val="en-US" w:eastAsia="en-US"/>
        </w:rPr>
        <w:t xml:space="preserve">- 100 </w:t>
      </w:r>
      <w:r>
        <w:rPr>
          <w:rStyle w:val="CharStyle3"/>
          <w:i/>
          <w:iCs/>
        </w:rPr>
        <w:t>баллов;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Предложение об отсутствии характеристики объекта закупки </w:t>
      </w:r>
      <w:r>
        <w:rPr>
          <w:rStyle w:val="CharStyle3"/>
          <w:i/>
          <w:iCs/>
          <w:lang w:val="en-US" w:eastAsia="en-US"/>
        </w:rPr>
        <w:t xml:space="preserve">- 0 </w:t>
      </w:r>
      <w:r>
        <w:rPr>
          <w:rStyle w:val="CharStyle3"/>
          <w:i/>
          <w:iCs/>
        </w:rPr>
        <w:t>баллов.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оценка заявок осуществляется по шкале оценки в соответствии с пунктом </w:t>
      </w:r>
      <w:r>
        <w:rPr>
          <w:rStyle w:val="CharStyle3"/>
          <w:i/>
          <w:iCs/>
          <w:lang w:val="en-US" w:eastAsia="en-US"/>
        </w:rPr>
        <w:t xml:space="preserve">22 </w:t>
      </w:r>
      <w:r>
        <w:rPr>
          <w:rStyle w:val="CharStyle3"/>
          <w:i/>
          <w:iCs/>
        </w:rPr>
        <w:t>Положения: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Предложение о наличии характеристики объекта закупки </w:t>
      </w:r>
      <w:r>
        <w:rPr>
          <w:rStyle w:val="CharStyle3"/>
          <w:i/>
          <w:iCs/>
          <w:lang w:val="en-US" w:eastAsia="en-US"/>
        </w:rPr>
        <w:t xml:space="preserve">- 100 </w:t>
      </w:r>
      <w:r>
        <w:rPr>
          <w:rStyle w:val="CharStyle3"/>
          <w:i/>
          <w:iCs/>
        </w:rPr>
        <w:t>баллов;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6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Предложение об отсутствии характеристики объекта закупки </w:t>
      </w:r>
      <w:r>
        <w:rPr>
          <w:rStyle w:val="CharStyle3"/>
          <w:i/>
          <w:iCs/>
          <w:lang w:val="en-US" w:eastAsia="en-US"/>
        </w:rPr>
        <w:t xml:space="preserve">- 0 </w:t>
      </w:r>
      <w:r>
        <w:rPr>
          <w:rStyle w:val="CharStyle3"/>
          <w:i/>
          <w:iCs/>
        </w:rPr>
        <w:t>баллов.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  <w:lang w:val="en-US" w:eastAsia="en-US"/>
        </w:rPr>
        <w:t xml:space="preserve">ОЦБi = 0,6 </w:t>
      </w:r>
      <w:r>
        <w:rPr>
          <w:rStyle w:val="CharStyle3"/>
          <w:i/>
          <w:iCs/>
        </w:rPr>
        <w:t xml:space="preserve">х </w:t>
      </w:r>
      <w:r>
        <w:rPr>
          <w:rStyle w:val="CharStyle3"/>
          <w:i/>
          <w:iCs/>
          <w:lang w:val="en-US" w:eastAsia="en-US"/>
        </w:rPr>
        <w:t xml:space="preserve">ОЦБ1i + 0,4 </w:t>
      </w:r>
      <w:r>
        <w:rPr>
          <w:rStyle w:val="CharStyle3"/>
          <w:i/>
          <w:iCs/>
        </w:rPr>
        <w:t xml:space="preserve">х </w:t>
      </w:r>
      <w:r>
        <w:rPr>
          <w:rStyle w:val="CharStyle3"/>
          <w:i/>
          <w:iCs/>
          <w:lang w:val="en-US" w:eastAsia="en-US"/>
        </w:rPr>
        <w:t>ОЦБ2i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Оценивается организационно-технологическая схема оказания охранных услуг </w:t>
      </w:r>
      <w:r>
        <w:rPr>
          <w:rStyle w:val="CharStyle3"/>
          <w:i/>
          <w:iCs/>
          <w:lang w:val="en-US" w:eastAsia="en-US"/>
        </w:rPr>
        <w:t xml:space="preserve">(ОЦБ1i) </w:t>
      </w:r>
      <w:r>
        <w:rPr>
          <w:rStyle w:val="CharStyle3"/>
          <w:i/>
          <w:iCs/>
        </w:rPr>
        <w:t>Организационно-технологическая схема оказания охранных услуг должна включать: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39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rStyle w:val="CharStyle3"/>
          <w:i/>
          <w:iCs/>
        </w:rPr>
        <w:t>оперативную дежурную службу (оперативный дежурный);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339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rStyle w:val="CharStyle3"/>
          <w:i/>
          <w:iCs/>
        </w:rPr>
        <w:t>собственную резервную группу;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69" w:val="left"/>
        </w:tabs>
        <w:bidi w:val="0"/>
        <w:spacing w:before="0" w:after="0" w:line="228" w:lineRule="auto"/>
        <w:ind w:left="0" w:right="0" w:firstLine="720"/>
        <w:jc w:val="both"/>
      </w:pPr>
      <w:r>
        <w:rPr>
          <w:rStyle w:val="CharStyle3"/>
          <w:i/>
          <w:iCs/>
        </w:rPr>
        <w:t>наличие собственной инспекторской службы.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>Составы дежурной службы, резервной группы и инспекторской службы подтверждается выписками из приказов (положений, инструкций) об их создании и деятельности.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Максимальное значение показателя составляет </w:t>
      </w:r>
      <w:r>
        <w:rPr>
          <w:rStyle w:val="CharStyle3"/>
          <w:i/>
          <w:iCs/>
          <w:lang w:val="en-US" w:eastAsia="en-US"/>
        </w:rPr>
        <w:t xml:space="preserve">100 </w:t>
      </w:r>
      <w:r>
        <w:rPr>
          <w:rStyle w:val="CharStyle3"/>
          <w:i/>
          <w:iCs/>
        </w:rPr>
        <w:t>баллов.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Минимальное значение показателя составляет </w:t>
      </w:r>
      <w:r>
        <w:rPr>
          <w:rStyle w:val="CharStyle3"/>
          <w:i/>
          <w:iCs/>
          <w:lang w:val="en-US" w:eastAsia="en-US"/>
        </w:rPr>
        <w:t xml:space="preserve">0 </w:t>
      </w:r>
      <w:r>
        <w:rPr>
          <w:rStyle w:val="CharStyle3"/>
          <w:i/>
          <w:iCs/>
        </w:rPr>
        <w:t>баллов.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Градация оценки: Предоставлены все показатели (в полном объеме) </w:t>
      </w:r>
      <w:r>
        <w:rPr>
          <w:rStyle w:val="CharStyle3"/>
          <w:i/>
          <w:iCs/>
          <w:lang w:val="en-US" w:eastAsia="en-US"/>
        </w:rPr>
        <w:t xml:space="preserve">– 100 </w:t>
      </w:r>
      <w:r>
        <w:rPr>
          <w:rStyle w:val="CharStyle3"/>
          <w:i/>
          <w:iCs/>
        </w:rPr>
        <w:t xml:space="preserve">баллов, отсутствие </w:t>
      </w:r>
      <w:r>
        <w:rPr>
          <w:rStyle w:val="CharStyle3"/>
          <w:i/>
          <w:iCs/>
          <w:lang w:val="en-US" w:eastAsia="en-US"/>
        </w:rPr>
        <w:t xml:space="preserve">1 </w:t>
      </w:r>
      <w:r>
        <w:rPr>
          <w:rStyle w:val="CharStyle3"/>
          <w:i/>
          <w:iCs/>
        </w:rPr>
        <w:t xml:space="preserve">(одного) и более показателей </w:t>
      </w:r>
      <w:r>
        <w:rPr>
          <w:rStyle w:val="CharStyle3"/>
          <w:i/>
          <w:iCs/>
          <w:lang w:val="en-US" w:eastAsia="en-US"/>
        </w:rPr>
        <w:t xml:space="preserve">– 0 </w:t>
      </w:r>
      <w:r>
        <w:rPr>
          <w:rStyle w:val="CharStyle3"/>
          <w:i/>
          <w:iCs/>
        </w:rPr>
        <w:t>баллов.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При оценке по данному показателю анализируется информация из таблицы Форма </w:t>
      </w:r>
      <w:r>
        <w:rPr>
          <w:rStyle w:val="CharStyle3"/>
          <w:i/>
          <w:iCs/>
          <w:lang w:val="en-US" w:eastAsia="en-US"/>
        </w:rPr>
        <w:t xml:space="preserve">1. </w:t>
      </w:r>
      <w:r>
        <w:rPr>
          <w:rStyle w:val="CharStyle3"/>
          <w:i/>
          <w:iCs/>
        </w:rPr>
        <w:t>«предложения о качественных, функциональных и экологических характеристиках объекта закупки»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Оценивается предложение по порядку, методам, технологии и организации оказания услуг </w:t>
      </w:r>
      <w:r>
        <w:rPr>
          <w:rStyle w:val="CharStyle3"/>
          <w:i/>
          <w:iCs/>
          <w:lang w:val="en-US" w:eastAsia="en-US"/>
        </w:rPr>
        <w:t xml:space="preserve">(ОЦБ2i) </w:t>
      </w:r>
      <w:r>
        <w:rPr>
          <w:rStyle w:val="CharStyle3"/>
          <w:i/>
          <w:iCs/>
        </w:rPr>
        <w:t xml:space="preserve">Подтверждается наличием собственной группы быстрого реагирования на автомобилях, находящихся в собственности или в лизинге на весь срок действия обязательств по Договору, с предоставлением копий свидетельств о собственности или договоров лизинга транспортных средств со сроком действия в рамках заключаемого Договора, со специальной раскраской автомобиля, информационными надписями и знаками на автомобиле, согласованными с территориальным Управлением ГИБДД МВД России (время прибытия группы быстрого реагирования не должно превышать </w:t>
      </w:r>
      <w:r>
        <w:rPr>
          <w:rStyle w:val="CharStyle3"/>
          <w:i/>
          <w:iCs/>
          <w:lang w:val="en-US" w:eastAsia="en-US"/>
        </w:rPr>
        <w:t xml:space="preserve">15 </w:t>
      </w:r>
      <w:r>
        <w:rPr>
          <w:rStyle w:val="CharStyle3"/>
          <w:i/>
          <w:iCs/>
        </w:rPr>
        <w:t>минут).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Максимальное значение показателя составляет </w:t>
      </w:r>
      <w:r>
        <w:rPr>
          <w:rStyle w:val="CharStyle3"/>
          <w:i/>
          <w:iCs/>
          <w:lang w:val="en-US" w:eastAsia="en-US"/>
        </w:rPr>
        <w:t xml:space="preserve">100 </w:t>
      </w:r>
      <w:r>
        <w:rPr>
          <w:rStyle w:val="CharStyle3"/>
          <w:i/>
          <w:iCs/>
        </w:rPr>
        <w:t>баллов.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Минимальное значение показателя составляет </w:t>
      </w:r>
      <w:r>
        <w:rPr>
          <w:rStyle w:val="CharStyle3"/>
          <w:i/>
          <w:iCs/>
          <w:lang w:val="en-US" w:eastAsia="en-US"/>
        </w:rPr>
        <w:t xml:space="preserve">0 </w:t>
      </w:r>
      <w:r>
        <w:rPr>
          <w:rStyle w:val="CharStyle3"/>
          <w:i/>
          <w:iCs/>
        </w:rPr>
        <w:t>баллов.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Градация оценки: Предоставлена информация в полном объёме на </w:t>
      </w:r>
      <w:r>
        <w:rPr>
          <w:rStyle w:val="CharStyle3"/>
          <w:i/>
          <w:iCs/>
          <w:lang w:val="en-US" w:eastAsia="en-US"/>
        </w:rPr>
        <w:t xml:space="preserve">4 </w:t>
      </w:r>
      <w:r>
        <w:rPr>
          <w:rStyle w:val="CharStyle3"/>
          <w:i/>
          <w:iCs/>
        </w:rPr>
        <w:t xml:space="preserve">автомобиля и более </w:t>
      </w:r>
      <w:r>
        <w:rPr>
          <w:rStyle w:val="CharStyle3"/>
          <w:i/>
          <w:iCs/>
          <w:lang w:val="en-US" w:eastAsia="en-US"/>
        </w:rPr>
        <w:t xml:space="preserve">– 100 </w:t>
      </w:r>
      <w:r>
        <w:rPr>
          <w:rStyle w:val="CharStyle3"/>
          <w:i/>
          <w:iCs/>
        </w:rPr>
        <w:t xml:space="preserve">баллов, предоставлена информация менее чем на </w:t>
      </w:r>
      <w:r>
        <w:rPr>
          <w:rStyle w:val="CharStyle3"/>
          <w:i/>
          <w:iCs/>
          <w:lang w:val="en-US" w:eastAsia="en-US"/>
        </w:rPr>
        <w:t xml:space="preserve">4 </w:t>
      </w:r>
      <w:r>
        <w:rPr>
          <w:rStyle w:val="CharStyle3"/>
          <w:i/>
          <w:iCs/>
        </w:rPr>
        <w:t xml:space="preserve">автомобиля </w:t>
      </w:r>
      <w:r>
        <w:rPr>
          <w:rStyle w:val="CharStyle3"/>
          <w:i/>
          <w:iCs/>
          <w:lang w:val="en-US" w:eastAsia="en-US"/>
        </w:rPr>
        <w:t xml:space="preserve">– 0 </w:t>
      </w:r>
      <w:r>
        <w:rPr>
          <w:rStyle w:val="CharStyle3"/>
          <w:i/>
          <w:iCs/>
        </w:rPr>
        <w:t>баллов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i/>
          <w:iCs/>
        </w:rPr>
        <w:t xml:space="preserve">При оценке по данному показателю анализируется информация из таблицы Форма </w:t>
      </w:r>
      <w:r>
        <w:rPr>
          <w:rStyle w:val="CharStyle3"/>
          <w:i/>
          <w:iCs/>
          <w:lang w:val="en-US" w:eastAsia="en-US"/>
        </w:rPr>
        <w:t xml:space="preserve">1. </w:t>
      </w:r>
      <w:r>
        <w:rPr>
          <w:rStyle w:val="CharStyle3"/>
          <w:i/>
          <w:iCs/>
        </w:rPr>
        <w:t>«предложения о качественных, функциональных и экологических характеристиках объекта закупки».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 заседании Комиссии Управления представитель Заказчика согласился с данным доводом жалобы.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При таких данных Комиссия Управления приходит к выводу о нарушении ч.8 ст.32, п.11 ч.1 ст.42 Закона о контрактной системе при установлении порядка оценки подобным образом,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40"/>
        <w:jc w:val="both"/>
      </w:pPr>
      <w:r>
        <w:rPr>
          <w:rStyle w:val="CharStyle3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rStyle w:val="CharStyle3"/>
          <w:b/>
          <w:bCs/>
        </w:rPr>
        <w:t>РЕШИЛА: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4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Признать жалобу ООО ЧОП «ЧЕГАР» на действия ФГБНУ «ЦНИИТ» обоснованной.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Признать в действиях Заказчика нарушение ч.8 ст.32, п.11 ч.1 ст.42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4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46" w:val="left"/>
        </w:tabs>
        <w:bidi w:val="0"/>
        <w:spacing w:before="0" w:after="240" w:line="240" w:lineRule="auto"/>
        <w:ind w:left="0" w:right="0" w:firstLine="740"/>
        <w:jc w:val="both"/>
      </w:pPr>
      <w:r>
        <w:rPr>
          <w:rStyle w:val="CharStyle3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(трех) месяцев с даты его принятия в порядке, установленном гл. </w:t>
      </w:r>
      <w:r>
        <w:rPr>
          <w:rStyle w:val="CharStyle3"/>
          <w:lang w:val="en-US" w:eastAsia="en-US"/>
        </w:rPr>
        <w:t xml:space="preserve">24 </w:t>
      </w:r>
      <w:r>
        <w:rPr>
          <w:rStyle w:val="CharStyle3"/>
        </w:rPr>
        <w:t>АПК РФ.</w:t>
      </w:r>
    </w:p>
    <w:p>
      <w:pPr>
        <w:widowControl w:val="0"/>
        <w:spacing w:line="1" w:lineRule="exact"/>
        <w:sectPr>
          <w:headerReference w:type="default" r:id="rId10"/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894" w:right="547" w:bottom="990" w:left="109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30200" distB="216535" distL="0" distR="0" simplePos="0" relativeHeight="125829382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330200</wp:posOffset>
                </wp:positionV>
                <wp:extent cx="184404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899999999999999pt;margin-top:26.pt;width:145.20000000000002pt;height:19.900000000000002pt;z-index:-125829371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403225" distB="0" distL="0" distR="1786255" simplePos="0" relativeHeight="125829384" behindDoc="0" locked="0" layoutInCell="1" allowOverlap="1">
            <wp:simplePos x="0" y="0"/>
            <wp:positionH relativeFrom="page">
              <wp:posOffset>3082290</wp:posOffset>
            </wp:positionH>
            <wp:positionV relativeFrom="paragraph">
              <wp:posOffset>403225</wp:posOffset>
            </wp:positionV>
            <wp:extent cx="359410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3502660</wp:posOffset>
                </wp:positionH>
                <wp:positionV relativeFrom="paragraph">
                  <wp:posOffset>491490</wp:posOffset>
                </wp:positionV>
                <wp:extent cx="1722120" cy="25908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5.80000000000001pt;margin-top:38.70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30200" distB="216535" distL="0" distR="0" simplePos="0" relativeHeight="125829385" behindDoc="0" locked="0" layoutInCell="1" allowOverlap="1">
                <wp:simplePos x="0" y="0"/>
                <wp:positionH relativeFrom="page">
                  <wp:posOffset>6050915</wp:posOffset>
                </wp:positionH>
                <wp:positionV relativeFrom="paragraph">
                  <wp:posOffset>330200</wp:posOffset>
                </wp:positionV>
                <wp:extent cx="114617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617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6.44999999999999pt;margin-top:26.pt;width:90.25pt;height:19.900000000000002pt;z-index:-125829368;mso-wrap-distance-left:0;mso-wrap-distance-top:26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both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Грешнева Дарья Сергеевна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  <w:color w:val="292929"/>
        </w:rPr>
        <w:t xml:space="preserve">Сертификат № </w:t>
      </w:r>
      <w:r>
        <w:rPr>
          <w:rStyle w:val="CharStyle20"/>
          <w:color w:val="5D5D5D"/>
        </w:rPr>
        <w:t>00831</w:t>
      </w:r>
      <w:r>
        <w:rPr>
          <w:rStyle w:val="CharStyle20"/>
          <w:lang w:val="en-US" w:eastAsia="en-US"/>
        </w:rPr>
        <w:t>B7545C61281C4BAB156778A683BFB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292929"/>
        </w:rPr>
        <w:t xml:space="preserve">17.07.2025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10.10.2026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98" w:right="546" w:bottom="1316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44170" distL="0" distR="0" simplePos="0" relativeHeight="125829387" behindDoc="0" locked="0" layoutInCell="1" allowOverlap="1">
                <wp:simplePos x="0" y="0"/>
                <wp:positionH relativeFrom="page">
                  <wp:posOffset>732155</wp:posOffset>
                </wp:positionH>
                <wp:positionV relativeFrom="paragraph">
                  <wp:posOffset>76200</wp:posOffset>
                </wp:positionV>
                <wp:extent cx="132588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649999999999999pt;margin-top:6.pt;width:104.40000000000001pt;height:19.699999999999999pt;z-index:-125829366;mso-wrap-distance-left:0;mso-wrap-distance-top: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9225" distB="0" distL="0" distR="1786255" simplePos="0" relativeHeight="125829389" behindDoc="0" locked="0" layoutInCell="1" allowOverlap="1">
            <wp:simplePos x="0" y="0"/>
            <wp:positionH relativeFrom="page">
              <wp:posOffset>3082290</wp:posOffset>
            </wp:positionH>
            <wp:positionV relativeFrom="paragraph">
              <wp:posOffset>149225</wp:posOffset>
            </wp:positionV>
            <wp:extent cx="359410" cy="52451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554355</wp:posOffset>
                </wp:positionV>
                <wp:extent cx="1283335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8.94999999999999pt;margin-top:43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3502660</wp:posOffset>
                </wp:positionH>
                <wp:positionV relativeFrom="paragraph">
                  <wp:posOffset>237490</wp:posOffset>
                </wp:positionV>
                <wp:extent cx="1722120" cy="25908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5.80000000000001pt;margin-top:18.6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44170" distL="0" distR="0" simplePos="0" relativeHeight="125829390" behindDoc="0" locked="0" layoutInCell="1" allowOverlap="1">
                <wp:simplePos x="0" y="0"/>
                <wp:positionH relativeFrom="page">
                  <wp:posOffset>6090285</wp:posOffset>
                </wp:positionH>
                <wp:positionV relativeFrom="paragraph">
                  <wp:posOffset>76200</wp:posOffset>
                </wp:positionV>
                <wp:extent cx="111887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М.О. Мацнева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9.55000000000001pt;margin-top:6.pt;width:88.100000000000009pt;height:19.699999999999999pt;z-index:-125829363;mso-wrap-distance-left:0;mso-wrap-distance-top:6.pt;mso-wrap-distance-right:0;mso-wrap-distance-bottom:27.1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М.О. Мацнева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Мацнева Мария Олеговна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00FDA1C988AAB27A9A34756B8D5F1D853</w:t>
      </w:r>
      <w:r>
        <w:rPr>
          <w:rStyle w:val="CharStyle20"/>
          <w:lang w:val="en-US" w:eastAsia="en-US"/>
        </w:rPr>
        <w:t>A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0"/>
        </w:rPr>
        <w:t xml:space="preserve">Действителен с 22.07.2025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15.10.2026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92" behindDoc="0" locked="0" layoutInCell="1" allowOverlap="1">
            <wp:simplePos x="0" y="0"/>
            <wp:positionH relativeFrom="page">
              <wp:posOffset>3082290</wp:posOffset>
            </wp:positionH>
            <wp:positionV relativeFrom="paragraph">
              <wp:posOffset>63500</wp:posOffset>
            </wp:positionV>
            <wp:extent cx="359410" cy="54229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35941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3542665</wp:posOffset>
                </wp:positionH>
                <wp:positionV relativeFrom="paragraph">
                  <wp:posOffset>468630</wp:posOffset>
                </wp:positionV>
                <wp:extent cx="1283335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8.94999999999999pt;margin-top:36.899999999999999pt;width:101.05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3502660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5.80000000000001pt;margin-top:11.950000000000001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А.А. Леонова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276EF4D805B62E966E204BCBEB72461C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right="0" w:firstLine="0"/>
        <w:jc w:val="left"/>
      </w:pPr>
      <w:r>
        <w:rPr>
          <w:rStyle w:val="CharStyle20"/>
        </w:rPr>
        <w:t xml:space="preserve">Действителен с 05.12.2025 </w:t>
      </w:r>
      <w:r>
        <w:rPr>
          <w:rStyle w:val="CharStyle20"/>
          <w:color w:val="5D5D5D"/>
        </w:rPr>
        <w:t xml:space="preserve">по </w:t>
      </w:r>
      <w:r>
        <w:rPr>
          <w:rStyle w:val="CharStyle20"/>
        </w:rPr>
        <w:t>28.02.2027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Исп.Мацнева М.О.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98" w:right="546" w:bottom="89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10247630</wp:posOffset>
              </wp:positionV>
              <wp:extent cx="731520" cy="7302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730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  <w:lang w:val="ru-RU" w:eastAsia="ru-RU"/>
                            </w:rPr>
                            <w:t>2026-24661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6.89999999999998pt;width:57.600000000000001pt;height:5.7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  <w:lang w:val="ru-RU" w:eastAsia="ru-RU"/>
                      </w:rPr>
                      <w:t>2026-24661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10247630</wp:posOffset>
              </wp:positionV>
              <wp:extent cx="719455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2026-24661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050000000000004pt;margin-top:806.89999999999998pt;width:56.64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2026-24661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3921760</wp:posOffset>
              </wp:positionH>
              <wp:positionV relativeFrom="page">
                <wp:posOffset>341630</wp:posOffset>
              </wp:positionV>
              <wp:extent cx="76200" cy="673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73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8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80000000000001pt;margin-top:26.900000000000002pt;width:6.pt;height:5.2999999999999998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8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13">
    <w:name w:val="Picture caption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5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 (3)"/>
    <w:basedOn w:val="Normal"/>
    <w:link w:val="CharStyle5"/>
    <w:pPr>
      <w:widowControl w:val="0"/>
      <w:shd w:val="clear" w:color="auto" w:fill="auto"/>
      <w:spacing w:after="2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12">
    <w:name w:val="Picture caption"/>
    <w:basedOn w:val="Normal"/>
    <w:link w:val="CharStyle1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5)"/>
    <w:basedOn w:val="Normal"/>
    <w:link w:val="CharStyle18"/>
    <w:pPr>
      <w:widowControl w:val="0"/>
      <w:shd w:val="clear" w:color="auto" w:fill="auto"/>
      <w:spacing w:after="100"/>
      <w:ind w:left="448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78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png"/><Relationship Id="rId8" Type="http://schemas.openxmlformats.org/officeDocument/2006/relationships/image" Target="media/image2.png" TargetMode="External"/><Relationship Id="rId9" Type="http://schemas.openxmlformats.org/officeDocument/2006/relationships/footer" Target="footer1.xml"/><Relationship Id="rId10" Type="http://schemas.openxmlformats.org/officeDocument/2006/relationships/header" Target="header1.xml"/><Relationship Id="rId11" Type="http://schemas.openxmlformats.org/officeDocument/2006/relationships/footer" Target="footer2.xm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image" Target="media/image5.jpeg"/><Relationship Id="rId17" Type="http://schemas.openxmlformats.org/officeDocument/2006/relationships/image" Target="media/image5.jpeg" TargetMode="External"/></Relationships>
</file>