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Ивановской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center"/>
      </w:pPr>
      <w:r>
        <w:rPr>
          <w:rStyle w:val="CharStyle6"/>
        </w:rPr>
        <w:t>ул. Жарова, 10, Иваново, 153000</w:t>
        <w:br/>
        <w:t>тел. (4932) 32-85-73, факс (4932) 32-63-60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"mailto:to37@fas.gov.ru" </w:instrText>
      </w:r>
      <w:r>
        <w:fldChar w:fldCharType="separate"/>
      </w:r>
      <w:r>
        <w:rPr>
          <w:rStyle w:val="CharStyle6"/>
          <w:lang w:val="en-US" w:eastAsia="en-US"/>
        </w:rPr>
        <w:t>to37@fas.gov.ru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0.05.2026</w:t>
        <w:tab/>
      </w:r>
      <w:r>
        <w:fldChar w:fldCharType="end"/>
      </w:r>
      <w:r>
        <w:rPr>
          <w:rStyle w:val="CharStyle11"/>
        </w:rPr>
        <w:t>№ ЕЧ/1761/26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b/>
          <w:bCs/>
          <w:sz w:val="28"/>
          <w:szCs w:val="28"/>
        </w:rPr>
        <w:t xml:space="preserve">ОБУЗ "Родниковская центральная районная больница" </w:t>
      </w:r>
      <w:r>
        <w:fldChar w:fldCharType="begin"/>
      </w:r>
      <w:r>
        <w:rPr/>
        <w:instrText> HYPERLINK "mailto:rodnikicrb@ivreg.ru" </w:instrText>
      </w:r>
      <w:r>
        <w:fldChar w:fldCharType="separate"/>
      </w:r>
      <w:r>
        <w:rPr>
          <w:rStyle w:val="CharStyle13"/>
          <w:color w:val="000080"/>
          <w:sz w:val="28"/>
          <w:szCs w:val="28"/>
          <w:u w:val="single"/>
          <w:lang w:val="en-US" w:eastAsia="en-US"/>
        </w:rPr>
        <w:t>rodnikicrb@ivreg.ru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ИП Мельничкину Е.В.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3"/>
          <w:color w:val="000080"/>
          <w:sz w:val="28"/>
          <w:szCs w:val="28"/>
          <w:u w:val="single"/>
          <w:lang w:val="en-US" w:eastAsia="en-US"/>
        </w:rPr>
        <w:t>evgenymelnichkin@tutamail.com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АО "Сбербанк-АСТ"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992" w:bottom="1313" w:left="1245" w:header="0" w:footer="3" w:gutter="0"/>
          <w:pgNumType w:start="1"/>
          <w:cols w:num="2" w:space="720" w:equalWidth="0">
            <w:col w:w="4070" w:space="1085"/>
            <w:col w:w="450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3"/>
          <w:color w:val="000080"/>
          <w:sz w:val="28"/>
          <w:szCs w:val="28"/>
          <w:u w:val="single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3" w:right="0" w:bottom="124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rStyle w:val="CharStyle28"/>
        </w:rPr>
        <w:t>о направлении решения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 №037/06/105-273/2026 (07-15/2026-076)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53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Дата оглашения решения: 15 мая 2026 года</w:t>
        <w:tab/>
        <w:t>город Иваново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>Дата изготовления решения: 20 мая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Ивановской области по контролю в сфере закупок (далее – Комиссия Ивановского УФАС России)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председателя Комиссии: Чугуновой Е.Е. – ВрИО руководителя управления;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>членов Комиссии: Крутовой М.В. – начальника отдела контроля в сфере закупок Жданкиной Ю.К. – главного специалиста – эксперта отдела контроля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>заседание проведено в отсутствие Индивидуального предпринимателя Мельничкина Евгения Владимировича (далее – ИП Мельничкин Е.В., Заявитель), а также его представителей, представителей Областного бюджетного учреждения здравоохранения «Родниковская центральная районная больница» (далее – Заказчик, ОБУЗ «Родниковская ЦРБ») (указанные лица надлежащим образом уведомлены о дате, времени и месте рассмотрения жалобы по существу, Заказчик ходатайствовал о рассмотрении жалобы в отсутствие его представителей),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720"/>
        <w:jc w:val="both"/>
      </w:pPr>
      <w:r>
        <w:rPr>
          <w:rStyle w:val="CharStyle13"/>
        </w:rPr>
        <w:t>рассмотрев жалобу ИП Мельничкина Е.В. на действия ОБУЗ «Родниковская ЦРБ» при проведении запроса котировок в электронной форме на приобретение и монтаж быстровозводимых модульных конструкций врачебных амбулаторий, центров (отделений) общей врачебной практики (семейной медицины), фельдшерско-акушерских пунктов, фельдшерских здравпунктов (извещение №0333300034626000054), и в результате осуществления внеплановой проверки в соответствии с п. 1 ч. 15 ст. 99 Федерального</w:t>
      </w:r>
    </w:p>
    <w:p>
      <w:pPr>
        <w:widowControl w:val="0"/>
        <w:spacing w:line="1" w:lineRule="exact"/>
      </w:pPr>
      <w:r>
        <w:drawing>
          <wp:anchor distT="63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63500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13"/>
        </w:rPr>
        <w:t xml:space="preserve">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59" w:lineRule="auto"/>
        <w:ind w:left="0" w:right="0" w:firstLine="0"/>
        <w:jc w:val="center"/>
      </w:pPr>
      <w:r>
        <w:rPr>
          <w:rStyle w:val="CharStyle13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08.05.2026 </w:t>
      </w:r>
      <w:r>
        <w:rPr>
          <w:rStyle w:val="CharStyle13"/>
        </w:rPr>
        <w:t xml:space="preserve">в Управление Федеральной антимонопольной службы по Ивановской области поступила жалоба ИП Мельничкина Е.В. на действия ОБУЗ «Родниковская ЦРБ» при проведении запроса котировок в электронной форме на приобретение и монтаж быстровозводимых модульных конструкций врачебных амбулаторий, центров (отделений) общей врачебной практики (семейной медицины), фельдшерско-акушерских пунктов, фельдшерских здравпунктов (извещение </w:t>
      </w:r>
      <w:r>
        <w:rPr>
          <w:rStyle w:val="CharStyle13"/>
          <w:lang w:val="en-US" w:eastAsia="en-US"/>
        </w:rPr>
        <w:t>№0333300034626000054).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 xml:space="preserve">Согласно жалобе Заявителя, Заказчиком в нарушение Закона о контрактной системе не установлены дополнительные требования к участникам закупки в соответствии с позицией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приложения к Постановлению Правительства РФ от </w:t>
      </w:r>
      <w:r>
        <w:rPr>
          <w:rStyle w:val="CharStyle13"/>
          <w:lang w:val="en-US" w:eastAsia="en-US"/>
        </w:rPr>
        <w:t xml:space="preserve">29.12.2021 №2571 </w:t>
      </w:r>
      <w:r>
        <w:rPr>
          <w:rStyle w:val="CharStyle13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Постановление Правительства </w:t>
      </w:r>
      <w:r>
        <w:rPr>
          <w:rStyle w:val="CharStyle13"/>
          <w:lang w:val="en-US" w:eastAsia="en-US"/>
        </w:rPr>
        <w:t>№2571).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 xml:space="preserve">Согласно письменным возражениям Заказчика, ОБУЗ «Родниковская ЦРБ» не согласно с доводом жалобы. По мнению Заказчика, установление требований в соответствии с позицией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приложения к Постановлению </w:t>
      </w:r>
      <w:r>
        <w:rPr>
          <w:rStyle w:val="CharStyle13"/>
          <w:lang w:val="en-US" w:eastAsia="en-US"/>
        </w:rPr>
        <w:t xml:space="preserve">№2571 </w:t>
      </w:r>
      <w:r>
        <w:rPr>
          <w:rStyle w:val="CharStyle13"/>
        </w:rPr>
        <w:t>было невозможно, так как закупка товара с определенными характеристиками не является однородной закупкой на выполнение работ.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 xml:space="preserve">Рассмотрев представленные ИП Мельничкиным Е.В., ОБУЗ «Родниковская ЦРБ», АО «Сбербанк-АСТ» документы, проведя внеплановую проверку в соответствии с ч.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Комиссия Ивановского УФАС России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03.05.2026 </w:t>
      </w:r>
      <w:r>
        <w:rPr>
          <w:rStyle w:val="CharStyle13"/>
        </w:rPr>
        <w:t xml:space="preserve">на официальном сайте единой информационной системы в сфере закупок в информационно-телекоммуникационной сети Интернет </w:t>
      </w:r>
      <w:r>
        <w:rPr>
          <w:rStyle w:val="CharStyle13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3"/>
          <w:lang w:val="en-US" w:eastAsia="en-US"/>
        </w:rPr>
        <w:t xml:space="preserve">)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официальный сайт) было размещено извещение </w:t>
      </w:r>
      <w:r>
        <w:rPr>
          <w:rStyle w:val="CharStyle13"/>
          <w:lang w:val="en-US" w:eastAsia="en-US"/>
        </w:rPr>
        <w:t xml:space="preserve">0333300034626000054 </w:t>
      </w:r>
      <w:r>
        <w:rPr>
          <w:rStyle w:val="CharStyle13"/>
        </w:rPr>
        <w:t>о проведении запроса котировок в электронной форме на приобретение и монтаж быстровозводимых модульных конструкций врачебных амбулаторий, центров (отделений) общей врачебной практики (семейной медицины), фельдшерско-акушерских пунктов, фельдшерских здравпунктов.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6 680 000,00 </w:t>
      </w:r>
      <w:r>
        <w:rPr>
          <w:rStyle w:val="CharStyle13"/>
        </w:rPr>
        <w:t>руб.;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 xml:space="preserve">Дата и время окончания срока подачи заявок </w:t>
      </w:r>
      <w:r>
        <w:rPr>
          <w:rStyle w:val="CharStyle13"/>
          <w:lang w:val="en-US" w:eastAsia="en-US"/>
        </w:rPr>
        <w:t>- 08.05.2026 09:00;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 xml:space="preserve">Дата подведения итогов </w:t>
      </w:r>
      <w:r>
        <w:rPr>
          <w:rStyle w:val="CharStyle13"/>
          <w:lang w:val="en-US" w:eastAsia="en-US"/>
        </w:rPr>
        <w:t>– 08.05.2026.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08.05.2026 </w:t>
      </w:r>
      <w:r>
        <w:rPr>
          <w:rStyle w:val="CharStyle13"/>
        </w:rPr>
        <w:t>№ИЗК1 на участие в закупке была подана одна заявка, которая была признана соответствующей извещению о проведении закупки и Закону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п.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участникам закупки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требования, предъявляемые к участникам закупки в соответствии с частями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3"/>
          <w:lang w:val="en-US" w:eastAsia="en-US"/>
        </w:rPr>
        <w:t xml:space="preserve">1.1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настоящего Федерального закона (при наличии такого требования).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 xml:space="preserve">Согласно 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Закона о контрактной системе,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>финансовых ресурсов для исполнения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>опыта работы, связанного с предметом контракта, и деловой репутации;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rStyle w:val="CharStyle13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ч.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Закона, в случае установления Правительством Российской Федерации 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№2571 </w:t>
      </w:r>
      <w:r>
        <w:rPr>
          <w:rStyle w:val="CharStyle13"/>
        </w:rPr>
        <w:t>определено, что к участникам закупки отдельных видов товаров, работ, услуг, участникам отдельных видов закупок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пп. "а" п.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2571, </w:t>
      </w:r>
      <w:r>
        <w:rPr>
          <w:rStyle w:val="CharStyle13"/>
        </w:rPr>
        <w:t xml:space="preserve">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 </w:t>
      </w:r>
      <w:r>
        <w:rPr>
          <w:rStyle w:val="CharStyle13"/>
          <w:lang w:val="en-US" w:eastAsia="en-US"/>
        </w:rPr>
        <w:t xml:space="preserve">6 - 13, 17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18 </w:t>
      </w:r>
      <w:r>
        <w:rPr>
          <w:rStyle w:val="CharStyle13"/>
        </w:rPr>
        <w:t xml:space="preserve">приложения применяются в 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млн. рублей, для обеспечения нужд субъектов Российской Федерации, муниципальных нужд </w:t>
      </w:r>
      <w:r>
        <w:rPr>
          <w:rStyle w:val="CharStyle13"/>
          <w:lang w:val="en-US" w:eastAsia="en-US"/>
        </w:rPr>
        <w:t xml:space="preserve">- 5 </w:t>
      </w:r>
      <w:r>
        <w:rPr>
          <w:rStyle w:val="CharStyle13"/>
        </w:rPr>
        <w:t>млн.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дополнительных требований к участникам закупки отдельных видов товаров, работ, услуг для обеспечения государственных и муниципальных нужд приложения к Постановлению Правительства </w:t>
      </w:r>
      <w:r>
        <w:rPr>
          <w:rStyle w:val="CharStyle13"/>
          <w:lang w:val="en-US" w:eastAsia="en-US"/>
        </w:rPr>
        <w:t xml:space="preserve">№2571 </w:t>
      </w:r>
      <w:r>
        <w:rPr>
          <w:rStyle w:val="CharStyle13"/>
        </w:rPr>
        <w:t>установлено, что в случае осуществления закупки на выполнение работ по строительству некапитального строения сооружения (строений, сооружений), благоустройству территории устанавливаются дополнительные требования к участникам закупки в сфере градостроительной деятельности, информация и документы, подтверждающие соответствие участников закупок таким дополнительным требованиям на наличие у участника закупки следующего опыта выполнения работ: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 благоустройству территории;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опыт выполнения участником закупки, являющимся застройщиком, работ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строительству, реконструкции объекта капитального строительства (в том числе линейного объекта).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ч.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Закона о контрактной системе информация об установленных требованиях в соответствии с частями </w:t>
      </w:r>
      <w:r>
        <w:rPr>
          <w:rStyle w:val="CharStyle13"/>
          <w:lang w:val="en-US" w:eastAsia="en-US"/>
        </w:rPr>
        <w:t xml:space="preserve">1, 1.1, 2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>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Предметом закупки является приобретение и монтаж быстровозводимых модульных конструкций врачебных амбулаторий, центров (отделений) общей врачебной практики (семейной медицины), фельдшерско-акушерских пунктов, фельдшерских здравпунктов. Объект закупки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здания сборные из металла, КТРУ </w:t>
      </w:r>
      <w:r>
        <w:rPr>
          <w:rStyle w:val="CharStyle13"/>
          <w:lang w:val="en-US" w:eastAsia="en-US"/>
        </w:rPr>
        <w:t>25.11.10.000 – 00000002.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описанию объекта закупки к поставке и монтажу требуется модульный фельдшерско-акушерский пункт. Модульный фельдшерско-акушерский пункт должен быть изготовлен согласно ГОСТ Р </w:t>
      </w:r>
      <w:r>
        <w:rPr>
          <w:rStyle w:val="CharStyle13"/>
          <w:lang w:val="en-US" w:eastAsia="en-US"/>
        </w:rPr>
        <w:t xml:space="preserve">58760-2019 </w:t>
      </w:r>
      <w:r>
        <w:rPr>
          <w:rStyle w:val="CharStyle13"/>
        </w:rPr>
        <w:t xml:space="preserve">«Здания мобильные (инвентарные). Общие технические условия», с соблюдением действующих норм и правил, соответствовать требованиям и правилам, взрыво- и пожаробезопасности, рассчитан на климатические условия размещения в соответствии с требованиями СП </w:t>
      </w:r>
      <w:r>
        <w:rPr>
          <w:rStyle w:val="CharStyle13"/>
          <w:lang w:val="en-US" w:eastAsia="en-US"/>
        </w:rPr>
        <w:t xml:space="preserve">131.13330.2020, </w:t>
      </w:r>
      <w:r>
        <w:rPr>
          <w:rStyle w:val="CharStyle13"/>
        </w:rPr>
        <w:t xml:space="preserve">СП </w:t>
      </w:r>
      <w:r>
        <w:rPr>
          <w:rStyle w:val="CharStyle13"/>
          <w:lang w:val="en-US" w:eastAsia="en-US"/>
        </w:rPr>
        <w:t xml:space="preserve">59.13330.2020 </w:t>
      </w:r>
      <w:r>
        <w:rPr>
          <w:rStyle w:val="CharStyle13"/>
        </w:rPr>
        <w:t xml:space="preserve">«Свод правил. Доступность зданий и сооружений для маломобильных групп населения» (актуализированная редакция СП </w:t>
      </w:r>
      <w:r>
        <w:rPr>
          <w:rStyle w:val="CharStyle13"/>
          <w:lang w:val="en-US" w:eastAsia="en-US"/>
        </w:rPr>
        <w:t xml:space="preserve">59.13330.2020)». </w:t>
      </w:r>
      <w:r>
        <w:rPr>
          <w:rStyle w:val="CharStyle13"/>
        </w:rPr>
        <w:t xml:space="preserve">Кроме того учитываются требования СП </w:t>
      </w:r>
      <w:r>
        <w:rPr>
          <w:rStyle w:val="CharStyle13"/>
          <w:lang w:val="en-US" w:eastAsia="en-US"/>
        </w:rPr>
        <w:t xml:space="preserve">158.13330.2014 </w:t>
      </w:r>
      <w:r>
        <w:rPr>
          <w:rStyle w:val="CharStyle13"/>
        </w:rPr>
        <w:t>"Здания и помещения медицинских организаций. Правила проектирования".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Модульный ФАП поставляется в комплекте и монтируется на месте из материалов заводского изготовления с приложенными пожарными и санитарно-эпидемиологическими сертификатами. Фундамент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винтовые сваи.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Поставка, сборка, установка, монтаж, наладка, оснащение осуществляется поставщиком на земельном участке по адресам, указанным в п.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настоящей Спецификации, на подготовленное им основание, обеспечивающее стабильное горизонтальное положение модуля и безопасную эксплуатацию объекта в течение всего периода эксплуатации.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Подготовка площадки для поставки, сборки, установки, монтажа, наладки, оснащения модуля осуществляется заказчиком. Каркас модуля должен быть сборно</w:t>
        <w:softHyphen/>
        <w:t>разборным, сборка каркаса должна производится с использованием винтов, болтовых, сварочных соединений и заклепок. После монтажа модуль должен оставаться перемещаемым, при этом должна быть обеспечена возможность транспортировки модуля.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извещению, начальная (максимальная) цена контракта (НМЦК) составила </w:t>
      </w:r>
      <w:r>
        <w:rPr>
          <w:rStyle w:val="CharStyle13"/>
          <w:lang w:val="en-US" w:eastAsia="en-US"/>
        </w:rPr>
        <w:t xml:space="preserve">6 680 000,00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10.2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Градостроительного кодекса Российской Федерации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ГрК РФ) некапитальные строения, сооружения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строения, сооружения, которые не имеют прочной связи с землей и конструктивные характеристики которых позволяют осуществить их перемещение и (или) демонтаж и последующую сборку без несоразмерного ущерба назначению и без изменения основных характеристик строений, сооружений (в том числе киосков, навесов и других подобных строений, сооружений).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ГрК РФ установлено, что строительство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создание зданий, строений, сооружений (в том числе на месте сносимых объектов капитального строительства).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3" w:right="535" w:bottom="1248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Комиссией Ивановского УФАС России установлено, что модульная конструкция, закупаемая Заказчиком, в соответствии с Градостроительным кодексом Российской Федерации, относится к некапитальному строению, поскольку не имеет прочной связи с землей, а конструктивные характеристики модульного здания позволяют осуществить его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перемещение и (или) демонтаж и последующую сборку. Вместе с тем, технология модульного строительства является одной из технологий строительства зданий, сооружений.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Однако, Заказчиком не установлены дополнительные требования к участникам закупки, предусмотренные п.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приложения к Постановлению Правительства </w:t>
      </w:r>
      <w:r>
        <w:rPr>
          <w:rStyle w:val="CharStyle13"/>
          <w:lang w:val="en-US" w:eastAsia="en-US"/>
        </w:rPr>
        <w:t>№2571.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Таким образом, Комиссией Ивановского УФАС России установлено, что в действиях Заказчика содержится нарушение ч.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31, </w:t>
      </w:r>
      <w:r>
        <w:rPr>
          <w:rStyle w:val="CharStyle13"/>
        </w:rPr>
        <w:t xml:space="preserve">п.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системе, выразившееся в неустановлении Заказчиком дополнительных требований к участникам закупки, предусмотренных п.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приложения к Постановлению Правительства </w:t>
      </w:r>
      <w:r>
        <w:rPr>
          <w:rStyle w:val="CharStyle13"/>
          <w:lang w:val="en-US" w:eastAsia="en-US"/>
        </w:rPr>
        <w:t xml:space="preserve">№2571. </w:t>
      </w:r>
      <w:r>
        <w:rPr>
          <w:rStyle w:val="CharStyle13"/>
        </w:rPr>
        <w:t>Довод Заявителя подтвержден.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 xml:space="preserve">Учитывая изложенное, а также тот факт, что выявленное нарушение Заказчиком Закона о контрактной системе свидетельствует о наличии признаков состава административного правонарушения, предусмотренного ч.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7.30.1 </w:t>
      </w:r>
      <w:r>
        <w:rPr>
          <w:rStyle w:val="CharStyle13"/>
        </w:rPr>
        <w:t xml:space="preserve">Кодекса Российской Федерации об административных правонарушениях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КоАП РФ), руководствуясь ст. </w:t>
      </w:r>
      <w:r>
        <w:rPr>
          <w:rStyle w:val="CharStyle13"/>
          <w:lang w:val="en-US" w:eastAsia="en-US"/>
        </w:rPr>
        <w:t xml:space="preserve">99, 104 </w:t>
      </w:r>
      <w:r>
        <w:rPr>
          <w:rStyle w:val="CharStyle13"/>
        </w:rPr>
        <w:t>Закона о контрактной системе, Комиссия Ивановского УФАС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Признать жалобу ИП Мельничкина Е.В. на действия ОБУЗ «Родниковская ЦРБ» при проведении запроса котировок в электронной форме на приобретение и монтаж быстровозводимых модульных конструкций врачебных амбулаторий, центров (отделений) общей врачебной практики (семейной медицины), фельдшерско-акушерских пунктов, фельдшерских здравпунктов (извещение </w:t>
      </w:r>
      <w:r>
        <w:rPr>
          <w:rStyle w:val="CharStyle13"/>
          <w:lang w:val="en-US" w:eastAsia="en-US"/>
        </w:rPr>
        <w:t xml:space="preserve">№0333300034626000054) </w:t>
      </w:r>
      <w:r>
        <w:rPr>
          <w:rStyle w:val="CharStyle13"/>
        </w:rPr>
        <w:t>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Установить в действиях ОБУЗ «Родниковская ЦРБ» нарушение ч.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31, </w:t>
      </w:r>
      <w:r>
        <w:rPr>
          <w:rStyle w:val="CharStyle13"/>
        </w:rPr>
        <w:t xml:space="preserve">п.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Выдать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>Передать материалы настоящей жалобы уполномоченному должностному лицу Ивановского УФАС России для принятия решения в соответствии с КоАП РФ.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Решение может быть обжаловано в судебном порядке в течение трех месяцев с даты</w:t>
      </w: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543" w:right="535" w:bottom="1248" w:left="1103" w:header="115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0</wp:posOffset>
                </wp:positionV>
                <wp:extent cx="1969135" cy="115824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9135" cy="1158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его принятия.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b/>
                                <w:bCs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5.850000000000001pt;margin-top:0;width:155.05000000000001pt;height:91.200000000000003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его принятия.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b/>
                          <w:bCs/>
                          <w:sz w:val="28"/>
                          <w:szCs w:val="28"/>
                        </w:rPr>
                        <w:t>Председатель комиссии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7"/>
                          <w:b/>
                          <w:bCs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3505" distB="710565" distL="0" distR="1816735" simplePos="0" relativeHeight="125829381" behindDoc="0" locked="0" layoutInCell="1" allowOverlap="1">
            <wp:simplePos x="0" y="0"/>
            <wp:positionH relativeFrom="page">
              <wp:posOffset>2830830</wp:posOffset>
            </wp:positionH>
            <wp:positionV relativeFrom="paragraph">
              <wp:posOffset>103505</wp:posOffset>
            </wp:positionV>
            <wp:extent cx="298450" cy="34734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3220720</wp:posOffset>
                </wp:positionH>
                <wp:positionV relativeFrom="paragraph">
                  <wp:posOffset>164465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53.59999999999999pt;margin-top:12.95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579120" distL="0" distR="0" simplePos="0" relativeHeight="125829382" behindDoc="0" locked="0" layoutInCell="1" allowOverlap="1">
                <wp:simplePos x="0" y="0"/>
                <wp:positionH relativeFrom="page">
                  <wp:posOffset>3263265</wp:posOffset>
                </wp:positionH>
                <wp:positionV relativeFrom="paragraph">
                  <wp:posOffset>481330</wp:posOffset>
                </wp:positionV>
                <wp:extent cx="1280160" cy="977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56.94999999999999pt;margin-top:37.899999999999999pt;width:100.8pt;height:7.7000000000000002pt;z-index:-125829371;mso-wrap-distance-left:0;mso-wrap-distance-top:37.899999999999999pt;mso-wrap-distance-right:0;mso-wrap-distance-bottom:45.600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345" distB="551815" distL="0" distR="0" simplePos="0" relativeHeight="125829384" behindDoc="0" locked="0" layoutInCell="1" allowOverlap="1">
                <wp:simplePos x="0" y="0"/>
                <wp:positionH relativeFrom="page">
                  <wp:posOffset>6028055</wp:posOffset>
                </wp:positionH>
                <wp:positionV relativeFrom="paragraph">
                  <wp:posOffset>347345</wp:posOffset>
                </wp:positionV>
                <wp:extent cx="1158240" cy="25908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3"/>
                                <w:b/>
                                <w:bCs/>
                                <w:sz w:val="28"/>
                                <w:szCs w:val="28"/>
                              </w:rPr>
                              <w:t>Е.Е. Чугунова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4.65000000000003pt;margin-top:27.350000000000001pt;width:91.200000000000003pt;height:20.400000000000002pt;z-index:-125829369;mso-wrap-distance-left:0;mso-wrap-distance-top:27.350000000000001pt;mso-wrap-distance-right:0;mso-wrap-distance-bottom:43.450000000000003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3"/>
                          <w:b/>
                          <w:bCs/>
                          <w:sz w:val="28"/>
                          <w:szCs w:val="28"/>
                        </w:rPr>
                        <w:t>Е.Е. Чугунова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6905" distB="222885" distL="0" distR="0" simplePos="0" relativeHeight="125829386" behindDoc="0" locked="0" layoutInCell="1" allowOverlap="1">
                <wp:simplePos x="0" y="0"/>
                <wp:positionH relativeFrom="page">
                  <wp:posOffset>2812415</wp:posOffset>
                </wp:positionH>
                <wp:positionV relativeFrom="paragraph">
                  <wp:posOffset>636905</wp:posOffset>
                </wp:positionV>
                <wp:extent cx="2216150" cy="29845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615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3"/>
                                <w:color w:val="000000"/>
                              </w:rPr>
                              <w:t>Чугунова Елена Евгеньевна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3"/>
                                <w:color w:val="292929"/>
                              </w:rPr>
                              <w:t>№ 00Е1</w:t>
                            </w:r>
                            <w:r>
                              <w:rPr>
                                <w:rStyle w:val="CharStyle23"/>
                                <w:lang w:val="en-US" w:eastAsia="en-US"/>
                              </w:rPr>
                              <w:t>A58603CE8A9F7701D0249DC208EAFD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 xml:space="preserve">Действителен с 05.06.2025 </w:t>
                            </w:r>
                            <w:r>
                              <w:rPr>
                                <w:rStyle w:val="CharStyle23"/>
                                <w:color w:val="5E5E5E"/>
                              </w:rPr>
                              <w:t xml:space="preserve">по </w:t>
                            </w:r>
                            <w:r>
                              <w:rPr>
                                <w:rStyle w:val="CharStyle23"/>
                              </w:rPr>
                              <w:t>29.08.2026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21.45000000000002pt;margin-top:50.149999999999999pt;width:174.5pt;height:23.5pt;z-index:-125829367;mso-wrap-distance-left:0;mso-wrap-distance-top:50.149999999999999pt;mso-wrap-distance-right:0;mso-wrap-distance-bottom:17.55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 xml:space="preserve">Кому выдан: </w:t>
                      </w:r>
                      <w:r>
                        <w:rPr>
                          <w:rStyle w:val="CharStyle23"/>
                          <w:color w:val="000000"/>
                        </w:rPr>
                        <w:t>Чугунова Елена Евгеньевна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 xml:space="preserve">Сертификат </w:t>
                      </w:r>
                      <w:r>
                        <w:rPr>
                          <w:rStyle w:val="CharStyle23"/>
                          <w:color w:val="292929"/>
                        </w:rPr>
                        <w:t>№ 00Е1</w:t>
                      </w:r>
                      <w:r>
                        <w:rPr>
                          <w:rStyle w:val="CharStyle23"/>
                          <w:lang w:val="en-US" w:eastAsia="en-US"/>
                        </w:rPr>
                        <w:t>A58603CE8A9F7701D0249DC208EAFD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 xml:space="preserve">Действителен с 05.06.2025 </w:t>
                      </w:r>
                      <w:r>
                        <w:rPr>
                          <w:rStyle w:val="CharStyle23"/>
                          <w:color w:val="5E5E5E"/>
                        </w:rPr>
                        <w:t xml:space="preserve">по </w:t>
                      </w:r>
                      <w:r>
                        <w:rPr>
                          <w:rStyle w:val="CharStyle23"/>
                        </w:rPr>
                        <w:t>29.08.2026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10" w:line="240" w:lineRule="auto"/>
        <w:ind w:left="1600" w:right="0" w:firstLine="0"/>
        <w:jc w:val="left"/>
        <w:rPr>
          <w:sz w:val="28"/>
          <w:szCs w:val="28"/>
        </w:rPr>
      </w:pPr>
      <w:r>
        <w:drawing>
          <wp:anchor distT="0" distB="0" distL="114300" distR="1912620" simplePos="0" relativeHeight="125829388" behindDoc="0" locked="0" layoutInCell="1" allowOverlap="1">
            <wp:simplePos x="0" y="0"/>
            <wp:positionH relativeFrom="page">
              <wp:posOffset>2824480</wp:posOffset>
            </wp:positionH>
            <wp:positionV relativeFrom="paragraph">
              <wp:posOffset>25400</wp:posOffset>
            </wp:positionV>
            <wp:extent cx="335280" cy="38417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3232785</wp:posOffset>
                </wp:positionH>
                <wp:positionV relativeFrom="paragraph">
                  <wp:posOffset>104775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54.55000000000001pt;margin-top:8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  <w:b/>
          <w:bCs/>
          <w:sz w:val="28"/>
          <w:szCs w:val="28"/>
        </w:rPr>
        <w:t>М.В. Крутова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Крутова Марина Владимировна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00E89C8D08D17006C4FD5542DC019FD92</w:t>
      </w:r>
      <w:r>
        <w:rPr>
          <w:rStyle w:val="CharStyle23"/>
          <w:lang w:val="en-US" w:eastAsia="en-US"/>
        </w:rPr>
        <w:t>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3"/>
        </w:rPr>
        <w:t xml:space="preserve">Действителен с 28.04.2026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22.07.2027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70" w:line="240" w:lineRule="auto"/>
        <w:ind w:left="1220" w:right="0" w:firstLine="0"/>
        <w:jc w:val="left"/>
      </w:pPr>
      <w:r>
        <w:drawing>
          <wp:anchor distT="0" distB="0" distL="114300" distR="1912620" simplePos="0" relativeHeight="125829389" behindDoc="0" locked="0" layoutInCell="1" allowOverlap="1">
            <wp:simplePos x="0" y="0"/>
            <wp:positionH relativeFrom="page">
              <wp:posOffset>2837180</wp:posOffset>
            </wp:positionH>
            <wp:positionV relativeFrom="paragraph">
              <wp:posOffset>12700</wp:posOffset>
            </wp:positionV>
            <wp:extent cx="335280" cy="38417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3245485</wp:posOffset>
                </wp:positionH>
                <wp:positionV relativeFrom="paragraph">
                  <wp:posOffset>92075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55.55000000000001pt;margin-top:7.2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rStyle w:val="CharStyle17"/>
          <w:b/>
          <w:bCs/>
        </w:rPr>
        <w:t>Ю.К. Жданкина</w:t>
      </w:r>
      <w:bookmarkEnd w:id="8"/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Жданкина Юлия Константиновна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0489C4D00A363D6748F1FFAED9566C9F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3"/>
        </w:rPr>
        <w:t xml:space="preserve">Действителен с 12.05.2025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05.08.2026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9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9980930</wp:posOffset>
              </wp:positionV>
              <wp:extent cx="327660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766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6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en-US" w:eastAsia="en-US"/>
                            </w:rPr>
                            <w:t>2026-2185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00000000000004pt;margin-top:785.89999999999998pt;width:258.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6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en-US" w:eastAsia="en-US"/>
                      </w:rPr>
                      <w:t>2026-2185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9963785</wp:posOffset>
              </wp:positionV>
              <wp:extent cx="658495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050000000000004pt;margin-top:784.55000000000007pt;width:51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8">
    <w:name w:val="Body text (6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9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3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spacing w:after="14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100"/>
      <w:ind w:left="40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7">
    <w:name w:val="Body text (6)"/>
    <w:basedOn w:val="Normal"/>
    <w:link w:val="CharStyle28"/>
    <w:pPr>
      <w:widowControl w:val="0"/>
      <w:shd w:val="clear" w:color="auto" w:fill="auto"/>
      <w:spacing w:after="940"/>
      <w:ind w:firstLine="8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footer" Target="footer3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