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6"/>
          <w:b/>
          <w:bCs/>
          <w:color w:val="476197"/>
          <w:sz w:val="19"/>
          <w:szCs w:val="19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6"/>
          <w:b/>
          <w:bCs/>
          <w:color w:val="476197"/>
          <w:sz w:val="19"/>
          <w:szCs w:val="19"/>
        </w:rPr>
        <w:t>Федеральной антимонопольной службы</w:t>
        <w:br/>
        <w:t>по Владимирской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6"/>
          <w:color w:val="476197"/>
          <w:sz w:val="16"/>
          <w:szCs w:val="16"/>
        </w:rPr>
        <w:t>600000, г. Владимир, ул. Большая Московская, 1</w:t>
        <w:br/>
        <w:t>тел. (4922) 53-14-53, факс (4922) 53-14-53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6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"mailto:to33@fas.gov.ru" </w:instrText>
      </w:r>
      <w:r>
        <w:fldChar w:fldCharType="separate"/>
      </w:r>
      <w:r>
        <w:rPr>
          <w:rStyle w:val="CharStyle6"/>
          <w:color w:val="476197"/>
          <w:sz w:val="16"/>
          <w:szCs w:val="16"/>
          <w:lang w:val="en-US" w:eastAsia="en-US"/>
        </w:rPr>
        <w:t>to33@fas.gov.ru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954" w:val="left"/>
        </w:tabs>
        <w:bidi w:val="0"/>
        <w:spacing w:before="0" w:after="320" w:line="240" w:lineRule="auto"/>
        <w:ind w:left="0" w:right="0" w:firstLine="140"/>
        <w:jc w:val="both"/>
        <w:rPr>
          <w:sz w:val="30"/>
          <w:szCs w:val="30"/>
        </w:rPr>
      </w:pPr>
      <w:r>
        <w:rPr>
          <w:rStyle w:val="CharStyle6"/>
          <w:sz w:val="30"/>
          <w:szCs w:val="30"/>
          <w:u w:val="singl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6"/>
          <w:sz w:val="30"/>
          <w:szCs w:val="30"/>
          <w:u w:val="single"/>
        </w:rPr>
        <w:t>8.05.2026</w:t>
      </w:r>
      <w:r>
        <w:rPr>
          <w:rStyle w:val="CharStyle6"/>
          <w:sz w:val="30"/>
          <w:szCs w:val="30"/>
        </w:rPr>
        <w:tab/>
      </w:r>
      <w:r>
        <w:fldChar w:fldCharType="end"/>
      </w:r>
      <w:r>
        <w:rPr>
          <w:rStyle w:val="CharStyle6"/>
          <w:sz w:val="30"/>
          <w:szCs w:val="30"/>
        </w:rPr>
        <w:t xml:space="preserve">№ </w:t>
      </w:r>
      <w:r>
        <w:rPr>
          <w:rStyle w:val="CharStyle6"/>
          <w:sz w:val="30"/>
          <w:szCs w:val="30"/>
          <w:u w:val="single"/>
        </w:rPr>
        <w:t>МФ/2285/2</w:t>
      </w:r>
      <w:r>
        <w:rPr>
          <w:rStyle w:val="CharStyle6"/>
          <w:sz w:val="30"/>
          <w:szCs w:val="30"/>
        </w:rPr>
        <w:t>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6"/>
          <w:color w:val="476197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4"/>
          <w:sz w:val="24"/>
          <w:szCs w:val="24"/>
        </w:rPr>
        <w:t>ОБЩЕСТВО С ОГРАНИЧЕННОЙ</w:t>
        <w:br/>
        <w:t>ОТВЕТСТВЕННОСТЬЮ</w:t>
        <w:br/>
        <w:t>"КАББАЛКЭНЕРГОСЕРВИС"</w:t>
        <w:br/>
      </w:r>
      <w:r>
        <w:fldChar w:fldCharType="begin"/>
      </w:r>
      <w:r>
        <w:rPr/>
        <w:instrText> HYPERLINK "mailto:zoshnokov@mail.ru" </w:instrText>
      </w:r>
      <w:r>
        <w:fldChar w:fldCharType="separate"/>
      </w:r>
      <w:r>
        <w:rPr>
          <w:rStyle w:val="CharStyle14"/>
          <w:sz w:val="24"/>
          <w:szCs w:val="24"/>
          <w:lang w:val="en-US" w:eastAsia="en-US"/>
        </w:rPr>
        <w:t>zoshnokov@mail.ru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4"/>
          <w:sz w:val="24"/>
          <w:szCs w:val="24"/>
        </w:rPr>
        <w:t>Министерство имущественных и земельных</w:t>
        <w:br/>
        <w:t>отношений Владимирской области</w:t>
        <w:br/>
      </w:r>
      <w:r>
        <w:fldChar w:fldCharType="begin"/>
      </w:r>
      <w:r>
        <w:rPr/>
        <w:instrText> HYPERLINK "mailto:mio@avo.ru" </w:instrText>
      </w:r>
      <w:r>
        <w:fldChar w:fldCharType="separate"/>
      </w:r>
      <w:r>
        <w:rPr>
          <w:rStyle w:val="CharStyle14"/>
          <w:sz w:val="24"/>
          <w:szCs w:val="24"/>
          <w:lang w:val="en-US" w:eastAsia="en-US"/>
        </w:rPr>
        <w:t>mio@avo.ru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48" w:bottom="1197" w:left="1135" w:header="0" w:footer="3" w:gutter="0"/>
          <w:pgNumType w:start="1"/>
          <w:cols w:num="2" w:space="821"/>
          <w:noEndnote/>
          <w:titlePg/>
          <w:rtlGutter w:val="0"/>
          <w:docGrid w:linePitch="360"/>
        </w:sectPr>
      </w:pPr>
      <w:r>
        <w:rPr>
          <w:rStyle w:val="CharStyle14"/>
          <w:sz w:val="24"/>
          <w:szCs w:val="24"/>
        </w:rPr>
        <w:t>МУНИЦИПАЛЬНОЕ БЮДЖЕТНОЕ</w:t>
        <w:br/>
        <w:t>УЧРЕЖДЕНИЕ ДОПОЛНИТЕЛЬНОГО</w:t>
        <w:br/>
        <w:t>ОБРАЗОВАНИЯ "СПОРТИВНАЯ ШКОЛА</w:t>
        <w:br/>
        <w:t>"ОКА"</w:t>
        <w:br/>
      </w:r>
      <w:r>
        <w:fldChar w:fldCharType="begin"/>
      </w:r>
      <w:r>
        <w:rPr/>
        <w:instrText> HYPERLINK "mailto:dushoka@yandex.ru" </w:instrText>
      </w:r>
      <w:r>
        <w:fldChar w:fldCharType="separate"/>
      </w:r>
      <w:r>
        <w:rPr>
          <w:rStyle w:val="CharStyle14"/>
          <w:sz w:val="24"/>
          <w:szCs w:val="24"/>
          <w:lang w:val="en-US" w:eastAsia="en-US"/>
        </w:rPr>
        <w:t>dushoka@yandex.ru</w:t>
      </w:r>
      <w:r>
        <w:fldChar w:fldCharType="end"/>
      </w:r>
    </w:p>
    <w:p>
      <w:pPr>
        <w:widowControl w:val="0"/>
        <w:spacing w:before="66" w:after="6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5" w:right="0" w:bottom="11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Р Е Ш Е Н И 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6432550</wp:posOffset>
                </wp:positionH>
                <wp:positionV relativeFrom="paragraph">
                  <wp:posOffset>558800</wp:posOffset>
                </wp:positionV>
                <wp:extent cx="868680" cy="231775"/>
                <wp:wrapSquare wrapText="bothSides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i/>
                                <w:iCs/>
                              </w:rPr>
                              <w:t>г. Владимир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06.5pt;margin-top:44.pt;width:68.400000000000006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i/>
                          <w:iCs/>
                        </w:rPr>
                        <w:t>г. Владимир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4"/>
          <w:b/>
          <w:bCs/>
        </w:rPr>
        <w:t>по делу о нарушении законодательства</w:t>
        <w:br/>
        <w:t>о контрактной системе в сфере закупок</w:t>
        <w:br/>
        <w:t>№ 033/06/105-393/2026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i/>
          <w:iCs/>
        </w:rPr>
        <w:t>15.05.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  <w:i/>
          <w:iCs/>
        </w:rPr>
        <w:t>Резолютивная часть решения оглашена 15.05.2026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Владимирского УФАС России по контролю в сфере закупок (далее – Комиссия) в составе: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rStyle w:val="CharStyle22"/>
        </w:rPr>
        <w:t>председателя Комиссии:</w:t>
      </w:r>
      <w:bookmarkEnd w:id="0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rStyle w:val="CharStyle22"/>
        </w:rPr>
        <w:t>Фомина М.В. заместителя руководителя – начальника отдела,</w:t>
      </w:r>
      <w:bookmarkEnd w:id="2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rStyle w:val="CharStyle22"/>
        </w:rPr>
        <w:t>членов Комиссии:</w:t>
      </w:r>
      <w:bookmarkEnd w:id="4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rStyle w:val="CharStyle22"/>
        </w:rPr>
        <w:t>Миронова Д.В., заместитель начальника отдела,</w:t>
      </w:r>
      <w:bookmarkEnd w:id="6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" w:name="bookmark8"/>
      <w:r>
        <w:rPr>
          <w:rStyle w:val="CharStyle22"/>
        </w:rPr>
        <w:t>Тряпкиной Е.Ю., главного специалиста-эксперта,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на основании части 8 статьи 106 Федерального закона № 44-ФЗ от 05.04.2013 «О контрактной системе в сфер закупок товаров, работ, услуг для обеспечения государственных и муниципальных нужд» (далее - Закон о контрактной системе) рассмотрела жалобу ООО КАББАЛКЭНЕРГОСЕРВИС» на положения извещения электронного аукциона по созданию некапитального модульного спортивного сооружения (модульный плавательный бассейн) (извещение № 0128200000126002383), в присутствии представителей заказчика – МБУ ДО «Спортивная школа «Ока» директора Гаврилова С.В. (приказ № 18 от 16.07.2012), Савиной О.В. (доверенность от 13.05.2026 № 152), уполномоченного органа – Киселевой И.Ю. (доверенность от 05.05.2026 № 25), представителя заявителя – Безирова А.А. (доверенность от 27.01.2026 б/н), представителей заинтересованных лиц ООО «Техномодуль» - Булдыгерова А.С.(по доверенности от 25.12.2025 № 25/24), Тюрюханову С.С.(по доверенности от 04.05.2026 б/н), Лисконог А.В. (по доверенности от 07.11.2025 №25/21).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20"/>
        <w:jc w:val="both"/>
      </w:pPr>
      <w:r>
        <w:rPr>
          <w:rStyle w:val="CharStyle14"/>
        </w:rPr>
        <w:t>В ходе рассмотрения дела о нарушении законодательства в сфере закупок № 033/06/105-393/2026 Комиссия Владимирского УФАС России,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  <w:rPr>
          <w:sz w:val="44"/>
          <w:szCs w:val="44"/>
        </w:rPr>
      </w:pPr>
      <w:r>
        <w:rPr>
          <w:rStyle w:val="CharStyle6"/>
          <w:rFonts w:ascii="Arial" w:eastAsia="Arial" w:hAnsi="Arial" w:cs="Arial"/>
          <w:sz w:val="44"/>
          <w:szCs w:val="44"/>
          <w:lang w:val="en-US" w:eastAsia="en-US"/>
        </w:rPr>
        <w:t>IIIIIIIIIIIIIIIIIIIIIIII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12.05.2026 </w:t>
      </w:r>
      <w:r>
        <w:rPr>
          <w:rStyle w:val="CharStyle14"/>
        </w:rPr>
        <w:t xml:space="preserve">во Владимирское УФАС России поступила жалоба ООО «Кабалкэнергосервис» на положения извещения электронного аукциона на по созданию некапитального модульного спортивного сооружения (модульный плавательный бассейн) (извещение </w:t>
      </w:r>
      <w:r>
        <w:rPr>
          <w:rStyle w:val="CharStyle14"/>
          <w:lang w:val="en-US" w:eastAsia="en-US"/>
        </w:rPr>
        <w:t>№ 0128200000126002383).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 мнению заявителя, заказчик нарушил часть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26.07.2006 № </w:t>
      </w:r>
      <w:r>
        <w:rPr>
          <w:rStyle w:val="CharStyle14"/>
        </w:rPr>
        <w:t>135-ФЗ «О защите конкуренции», поскольку объединил в один лот технологически и функционально не связанные между собой товары и работы, а именно: работы по благоустройству территории, устройство фундаментной плиты, наружные сети водоснабжения и водоотведения, электроснабжения, связи, тепловые сети, а также поставку модульного спортивного сооружения (бассейна). Указанные виды работ и поставок относятся к разным товарным рынкам, не обладают однородными признаками, что ограничивает круг потенциальных участников (специализированные организации по бетонным работам, сетям, поставке модульных сооружений вынуждены вступать в кооперацию либо отказываться от участия) и противоречит запрету на ограничение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Заявитель также указывает, что проектной документацией предусмотрены работы по погружению винтовых свай, монтажу опалубки, бетонированию монолитных железобетонных конструкций и устройству гидроизоляции, которые являются составными частями единого технологического процесса возведения фундамента. В соответствии с приказом Минрегиона РФ от </w:t>
      </w:r>
      <w:r>
        <w:rPr>
          <w:rStyle w:val="CharStyle14"/>
          <w:lang w:val="en-US" w:eastAsia="en-US"/>
        </w:rPr>
        <w:t xml:space="preserve">30.12.2009 № 624 </w:t>
      </w:r>
      <w:r>
        <w:rPr>
          <w:rStyle w:val="CharStyle14"/>
        </w:rPr>
        <w:t xml:space="preserve">данные работы прямо поименованы в Перечне видов работ, оказывающих влияние на безопасность объектов капитального строительства (пункты </w:t>
      </w:r>
      <w:r>
        <w:rPr>
          <w:rStyle w:val="CharStyle14"/>
          <w:lang w:val="en-US" w:eastAsia="en-US"/>
        </w:rPr>
        <w:t xml:space="preserve">5, 6, 12). </w:t>
      </w:r>
      <w:r>
        <w:rPr>
          <w:rStyle w:val="CharStyle14"/>
        </w:rPr>
        <w:t xml:space="preserve">Возводимое сооружение (железобетонное основание, плита, фундамент) имеет неразрывную прочную связь с землей, что в силу 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Градостроительного кодекса РФ позволяет квалифицировать его как объект капитального строительства, а не как временное или некапитальное сооружение.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Поскольку заказчик фактически закупает работы по созданию объекта капитального строительства,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52 </w:t>
      </w:r>
      <w:r>
        <w:rPr>
          <w:rStyle w:val="CharStyle14"/>
        </w:rPr>
        <w:t xml:space="preserve">Градостроительного кодекса РФ такие работы должны выполняться только индивидуальными предпринимателями или юридическими лицами, являющимися членами саморегулируемых организаций (СРО) в области строительства, реконструкции, капитального ремонта объектов капитального строительства. Однако извещение о закупке не содержит требования об обязательном членстве участников в СРО, что нарушает пункт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Кроме того, заявитель обращает внимание, что описание объекта закупки обязывает поставщика в течение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>рабочих дней со дня заключения контракта предоставить и согласовать архитектурный облик, цветовую гамму и внутреннее оформление модульного спортивного сооружения. При этом извещение не содержит критерии и сроки согласования заказчиком предоставляемых данных, что не позволяет участникам закупки оценить свои риски и формировать ценовое предложение.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изложенного заявитель просит признать жалобу обоснованной, провести проверку доводов и выдать заказчику предписание об аннулировании закупки (либо об устранении нарушений путём внесения изменений в извещение).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 считает, что все включённые в закупку работы (благоустройство территории, устройство фундаментной плиты, наружные сети водоснабжения, водоотведения, электроснабжения, связи, тепловые сети, поставка модульного спортивного сооружения) технологически и функционально связаны, поскольку направлены на достижение единой цели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создание модульного плавательного бассейна, готового 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эксплуатации, с подключением к инженерным сетям и благоустройством территории. Объединение в один лот указанных работ и поставки необходимо для полноценного функционирования объекта, что соответствует праву заказчика определять предмет контракта как единый объект закупки в целях эффективного использования бюджетных средств (пункт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Доказательств искусственного ограничения круга участников заявителем не представлено; напротив, на электронный аукцион подано три заявки, состоялось снижение начальной (максимальной) цены контракта на </w:t>
      </w:r>
      <w:r>
        <w:rPr>
          <w:rStyle w:val="CharStyle14"/>
          <w:lang w:val="en-US" w:eastAsia="en-US"/>
        </w:rPr>
        <w:t xml:space="preserve">8%, </w:t>
      </w:r>
      <w:r>
        <w:rPr>
          <w:rStyle w:val="CharStyle14"/>
        </w:rPr>
        <w:t xml:space="preserve">что подтверждает отсутствие ограничения конкуренции. Кроме того, проектом контракта установлена обязанность подрядчика привлечь субподрядчиков из числа субъектов малого предпринимательства и социально ориентированных некоммерческих организаций в объёме </w:t>
      </w:r>
      <w:r>
        <w:rPr>
          <w:rStyle w:val="CharStyle14"/>
          <w:lang w:val="en-US" w:eastAsia="en-US"/>
        </w:rPr>
        <w:t xml:space="preserve">30% </w:t>
      </w:r>
      <w:r>
        <w:rPr>
          <w:rStyle w:val="CharStyle14"/>
        </w:rPr>
        <w:t>от цены контракта, что прямо предусматривает кооперацию специализированных организаций.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Заказчик полагает, что предмет закупки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создание некапитального модульного спортивного сооружения (модульный плавательный бассейн), которое представляет собой сборно-разборную конструкцию заводского изготовления, не имеющую прочной связи с землёй. В соответствии с пунктом </w:t>
      </w:r>
      <w:r>
        <w:rPr>
          <w:rStyle w:val="CharStyle14"/>
          <w:lang w:val="en-US" w:eastAsia="en-US"/>
        </w:rPr>
        <w:t xml:space="preserve">10.2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Градостроительного кодекса РФ некапитальные строения, сооружения могут быть перемещены и (или) демонтированы с последующей сборкой без несоразмерного ущерба назначению. Фундаментная плита в данном случае выполняет роль временного основания: её толщина не превышает </w:t>
      </w:r>
      <w:r>
        <w:rPr>
          <w:rStyle w:val="CharStyle14"/>
          <w:lang w:val="en-US" w:eastAsia="en-US"/>
        </w:rPr>
        <w:t xml:space="preserve">400 </w:t>
      </w:r>
      <w:r>
        <w:rPr>
          <w:rStyle w:val="CharStyle14"/>
        </w:rPr>
        <w:t xml:space="preserve">мм, размеры </w:t>
      </w:r>
      <w:r>
        <w:rPr>
          <w:rStyle w:val="CharStyle14"/>
          <w:lang w:val="en-US" w:eastAsia="en-US"/>
        </w:rPr>
        <w:t xml:space="preserve">47,32×32,84 </w:t>
      </w:r>
      <w:r>
        <w:rPr>
          <w:rStyle w:val="CharStyle14"/>
        </w:rPr>
        <w:t xml:space="preserve">м, а винтовые сваи, как указано в проектной документации, позволяют осуществить демонтаж и перенос сооружения на новый участок (схема раскладки сегментов плиты и инструкция по переносу приведены в проектной документации, 269-АС, стр. </w:t>
      </w:r>
      <w:r>
        <w:rPr>
          <w:rStyle w:val="CharStyle14"/>
          <w:lang w:val="en-US" w:eastAsia="en-US"/>
        </w:rPr>
        <w:t>12).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Винтовые сваи обладают функцией быстрого монтажа и демонтажа, что соответствует признакам некапитального объекта. Наружные сети подключаются через съёмные или быстроразъёмные соединения, благоустройство территории не включает капитальных элементов. Поскольку объект закупки не является объектом капитального строительства, требование о членстве в саморегулируемой организации (СРО) на основании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52 </w:t>
      </w:r>
      <w:r>
        <w:rPr>
          <w:rStyle w:val="CharStyle14"/>
        </w:rPr>
        <w:t xml:space="preserve">Градостроительного кодекса РФ не применяется, что исключает нарушение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44-ФЗ. Дополнительно заказчик отмечает, что в идентификационном коде закупки (ИКЗ) указан код вида расходов </w:t>
      </w:r>
      <w:r>
        <w:rPr>
          <w:rStyle w:val="CharStyle14"/>
          <w:lang w:val="en-US" w:eastAsia="en-US"/>
        </w:rPr>
        <w:t xml:space="preserve">244 </w:t>
      </w:r>
      <w:r>
        <w:rPr>
          <w:rStyle w:val="CharStyle14"/>
        </w:rPr>
        <w:t xml:space="preserve">«Прочая закупка товаров, работ и услуг» </w:t>
      </w:r>
      <w:r>
        <w:rPr>
          <w:rStyle w:val="CharStyle14"/>
          <w:lang w:val="en-US" w:eastAsia="en-US"/>
        </w:rPr>
        <w:t xml:space="preserve">(34-36 </w:t>
      </w:r>
      <w:r>
        <w:rPr>
          <w:rStyle w:val="CharStyle14"/>
        </w:rPr>
        <w:t xml:space="preserve">разряды), а не код группы </w:t>
      </w:r>
      <w:r>
        <w:rPr>
          <w:rStyle w:val="CharStyle14"/>
          <w:lang w:val="en-US" w:eastAsia="en-US"/>
        </w:rPr>
        <w:t xml:space="preserve">400 </w:t>
      </w:r>
      <w:r>
        <w:rPr>
          <w:rStyle w:val="CharStyle14"/>
        </w:rPr>
        <w:t xml:space="preserve">«Капитальные вложения», что подтверждает некапитальный характер закупки. Финансирование осуществляется в рамках приказа Министерства спорта РФ от </w:t>
      </w:r>
      <w:r>
        <w:rPr>
          <w:rStyle w:val="CharStyle14"/>
          <w:lang w:val="en-US" w:eastAsia="en-US"/>
        </w:rPr>
        <w:t xml:space="preserve">11.12.2025 № 1130, </w:t>
      </w:r>
      <w:r>
        <w:rPr>
          <w:rStyle w:val="CharStyle14"/>
        </w:rPr>
        <w:t>предусматривающего создание модульного спортивного сооружения.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Относительно довода об отсутствии в извещении критериев и сроков согласования архитектурного облика заказчик считает его необоснованным, поскольку условие о предоставлении и согласовании архитектурного облика, цветовой гаммы и внутреннего оформления направлено на обеспечение соответствия результата закупки потребностям заказчика и не противоречит Закону о контрактной системе в сфере закупок. Отсутствие в извещении детализированных критериев согласования не является нарушением: процедура согласования относится к порядку исполнения контракта, а не к допуску участников; заказчик при рассмотрении предложенных вариантов обязан действовать разумно и добросовестно, без произвольного отказа.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Данное условие не ограничило количество участников (подано три заявки) и не создало преимуществ отдельным лицам. Заказчик также обращает внимание, что ООО «КАББАЛКЭНЕРГОСЕРВИС» не подавало заявку на участие в электронном аукционе и не воспользовалось правом на направление запроса о даче разъяснений положений извещения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в порядке 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системе, что свидетельствует об отсутствии нарушения прав и законных интересов заявителя.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изложенного заказчик просит признать жалобу необоснованной, отказать в удовлетворении заявленных требований и не выдавать предписание об аннулировании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Представитель уполномоченного органа пояснил, что при проведении закупки </w:t>
      </w:r>
      <w:r>
        <w:rPr>
          <w:rStyle w:val="CharStyle14"/>
          <w:lang w:val="en-US" w:eastAsia="en-US"/>
        </w:rPr>
        <w:t xml:space="preserve">№ 0128200000126002383 </w:t>
      </w:r>
      <w:r>
        <w:rPr>
          <w:rStyle w:val="CharStyle14"/>
        </w:rPr>
        <w:t>на создание некапитального модульного спортивного сооружения (модульный плавательный бассейн) требования Федерального закона о контрактной системе в сфере закупок нарушены не были, в связи с чем жалоба ООО «КАББАЛКЭНЕРГОСЕРВИС» является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извещении о закупке установлены дополнительные требования к участникам в соответствии с позицией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к Постановлению Правительства РФ от </w:t>
      </w:r>
      <w:r>
        <w:rPr>
          <w:rStyle w:val="CharStyle14"/>
          <w:lang w:val="en-US" w:eastAsia="en-US"/>
        </w:rPr>
        <w:t xml:space="preserve">29.12.2021 № 2571, </w:t>
      </w:r>
      <w:r>
        <w:rPr>
          <w:rStyle w:val="CharStyle14"/>
        </w:rPr>
        <w:t xml:space="preserve">предусматривающей наличие опыта выполнения работ по строительству некапитального строения, сооружения, благоустройству территории. Указанные требования правомерно применены к предмету закупки, поскольку создаваемый модульный бассейн является некапитальным сооружением, что подтверждается проектной документацией, наличием винтовых свай, допускающих демонтаж и перенос, а также указанием в идентификационном коде закупки кода вида расходов </w:t>
      </w:r>
      <w:r>
        <w:rPr>
          <w:rStyle w:val="CharStyle14"/>
          <w:lang w:val="en-US" w:eastAsia="en-US"/>
        </w:rPr>
        <w:t xml:space="preserve">244 </w:t>
      </w:r>
      <w:r>
        <w:rPr>
          <w:rStyle w:val="CharStyle14"/>
        </w:rPr>
        <w:t>«Прочая закупка товаров, работ и услуг».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Победитель закупки (ООО «ТЕХНОМОДУЛЬ») представил в составе заявки исполненный государственный контракт на поставку и монтаж мобильного сборно</w:t>
        <w:softHyphen/>
        <w:t>разборного здания, что полностью соответствует установленным дополнительным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 участие в электронном аукционе было подано три заявки, все они признаны соответствующими, состоялось снижение начальной (максимальной) цены контракта на </w:t>
      </w:r>
      <w:r>
        <w:rPr>
          <w:rStyle w:val="CharStyle14"/>
          <w:lang w:val="en-US" w:eastAsia="en-US"/>
        </w:rPr>
        <w:t xml:space="preserve">8%, </w:t>
      </w:r>
      <w:r>
        <w:rPr>
          <w:rStyle w:val="CharStyle14"/>
        </w:rPr>
        <w:t>что свидетельствует об отсутствии ограничения конкуренции. Процедура закупки завершена, победитель определён, контракт находится на стадии заключения.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изложенного уполномоченный орган просит признать жалобу необоснованной, в удовлетворении требований отказать и не выдавать предписание об аннулировании закупки, поскольку действия заказчика и уполномоченного органа соответствуют законодательству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Изучив представленные документы, исследовав доказательства сторон в рамках внеплановой проверки, проведенной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системе, Комиссия Владимирского УФАС России пришла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По доводу заявителя о том, что заказчиком в один лот объединены технологически и функционально не связанные товары и работы (благоустройство территории, устройство фундаментной плиты, наружные сети водоснабжения, водоотведения, электроснабжения, связи, тепловые сети, поставка модульного бассейна), что нарушает часть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26.07.2006 № </w:t>
      </w:r>
      <w:r>
        <w:rPr>
          <w:rStyle w:val="CharStyle14"/>
        </w:rPr>
        <w:t>135-ФЗ «О защите конкуренции», Комиссия отмечает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Как следует из извещения и проектной документации, предметом закупки является создание некапитального модульного спортивного сооружения (модульный плавательный бассейн), готового к эксплуатации. Все включённые в лот работы и поставка товара направлены на достижение единого результата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функционирующего модульного бассейна с подключением к инженерным сетям и благоустройством прилегающей территории. Устройство фундаментной плиты на винтовых сваях, прокладка наружных сетей через съёмные соединения, благоустройство территории и монтаж самого сооружения являются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взаимосвязанными этапами единого технологического процесса создания некапитального объекта.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Заказчик вправе определить предмет контракта как единый лот, если это обеспечивает эффективное использование бюджетных средств (пункт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системе). Доказательств ограничения конкуренции заявителем не представлено; напротив, на участие в аукционе подано три заявки, состоялось снижение начальной (максимальной) цены контракта на </w:t>
      </w:r>
      <w:r>
        <w:rPr>
          <w:rStyle w:val="CharStyle14"/>
          <w:lang w:val="en-US" w:eastAsia="en-US"/>
        </w:rPr>
        <w:t xml:space="preserve">8%, </w:t>
      </w:r>
      <w:r>
        <w:rPr>
          <w:rStyle w:val="CharStyle14"/>
        </w:rPr>
        <w:t>что свидетельствует о наличии конкурентной среды.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Таким образом, данный довод жалобы признаётся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По доводу заявителя о том, что возводимый объект является объектом капитального строительства, а заказчик неправомерно не установил требование о членстве участников в саморегулируемой организации (СРО) в нарушение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52 </w:t>
      </w:r>
      <w:r>
        <w:rPr>
          <w:rStyle w:val="CharStyle14"/>
        </w:rPr>
        <w:t xml:space="preserve">Градостроительного кодекса РФ и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 в сфере закупок, Комиссия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10.2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Градостроительного кодекса РФ некапитальные строения, сооружения не имеют прочной связи с землёй, их конструктивные характеристики позволяют осуществить демонтаж и последующую сборку без несоразмерного ущерба назначению. Проектной документацией предусмотрены винтовые сваи, которые погружаются в грунт способом завинчивания и могут быть демонтированы без разрушения; фундаментная плита имеет толщину не более </w:t>
      </w:r>
      <w:r>
        <w:rPr>
          <w:rStyle w:val="CharStyle14"/>
          <w:lang w:val="en-US" w:eastAsia="en-US"/>
        </w:rPr>
        <w:t xml:space="preserve">400 </w:t>
      </w:r>
      <w:r>
        <w:rPr>
          <w:rStyle w:val="CharStyle14"/>
        </w:rPr>
        <w:t xml:space="preserve">мм и размеры </w:t>
      </w:r>
      <w:r>
        <w:rPr>
          <w:rStyle w:val="CharStyle14"/>
          <w:lang w:val="en-US" w:eastAsia="en-US"/>
        </w:rPr>
        <w:t xml:space="preserve">47,32×32,84 </w:t>
      </w:r>
      <w:r>
        <w:rPr>
          <w:rStyle w:val="CharStyle14"/>
        </w:rPr>
        <w:t xml:space="preserve">м; в документации (лист </w:t>
      </w:r>
      <w:r>
        <w:rPr>
          <w:rStyle w:val="CharStyle14"/>
          <w:lang w:val="en-US" w:eastAsia="en-US"/>
        </w:rPr>
        <w:t xml:space="preserve">12, </w:t>
      </w:r>
      <w:r>
        <w:rPr>
          <w:rStyle w:val="CharStyle14"/>
        </w:rPr>
        <w:t>раздел 269-АС) приведена схема раскладки сегментов плиты и инструкция по переносу здания и основания на новый участок с помощью резчиков.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Наружные сети подключаются через быстроразъёмные соединения, что позволяет демонтировать объект без повреждения коммуникаций. Указанные признаки в совокупности позволяют квалифицировать создаваемое сооружение как некапитальное. Следовательно, требования о членстве в СРО, предусмотренные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52 </w:t>
      </w:r>
      <w:r>
        <w:rPr>
          <w:rStyle w:val="CharStyle14"/>
        </w:rPr>
        <w:t xml:space="preserve">Градостроительного кодекса РФ для объектов капитального строительства, на данный объект не распространяются. Кроме того, в идентификационном коде закупки указан код вида расходов </w:t>
      </w:r>
      <w:r>
        <w:rPr>
          <w:rStyle w:val="CharStyle14"/>
          <w:lang w:val="en-US" w:eastAsia="en-US"/>
        </w:rPr>
        <w:t xml:space="preserve">244 </w:t>
      </w:r>
      <w:r>
        <w:rPr>
          <w:rStyle w:val="CharStyle14"/>
        </w:rPr>
        <w:t xml:space="preserve">«Прочая закупка товаров, работ и услуг», а не код группы </w:t>
      </w:r>
      <w:r>
        <w:rPr>
          <w:rStyle w:val="CharStyle14"/>
          <w:lang w:val="en-US" w:eastAsia="en-US"/>
        </w:rPr>
        <w:t xml:space="preserve">400 </w:t>
      </w:r>
      <w:r>
        <w:rPr>
          <w:rStyle w:val="CharStyle14"/>
        </w:rPr>
        <w:t>«Капитальные вложения», что дополнительно подтверждает некапитальный характер закупки. При таких обстоятельствах отсутствие в извещении требования о членстве в СРО не нарушает законодательство. Довод жалобы в этой части также признаётся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По доводу заявителя об отсутствии в извещении критериев и сроков согласования заказчиком архитектурного облика, цветовой гаммы и внутреннего оформления модульного сооружения, что, по мнению заявителя, не позволяет участникам сформировать ценовое предложение, Комиссия отмечает следующее. Условие о предоставлении и согласовании указанных характеристик относится к порядку исполнения контракта, а не к условиям допуска участников к закупке. Закон о контрактной системе в сфере закупок не требует детализированной регламентации критериев согласования в извещении; заказчик при рассмотрении предложенных вариантов обязан действовать разумно и добросовестно, не допуская произвольного отказа. Данное условие не повлияло на участие в закупке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подано три заявки, все участники представили ценовые предложения.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Таким образом, нарушений прав участников закупки и требований Закона о контрактной системе не установлено, довод жалобы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Комиссия также принимает во внимание, что заявитель жалобы ООО «КАББАЛКЭНЕРГОСЕРВИС» не подавало заявку на участие в аукционе и не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воспользовалось правом на получение разъяснений положений извещения в порядке 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системе, что лишает его возможности ссылаться на неопределённость документации.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 xml:space="preserve">Кроме того, заказчиком в извещении правомерно установлены дополнительные требования в соответствии с позицией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к Постановлению Правительства РФ от </w:t>
      </w:r>
      <w:r>
        <w:rPr>
          <w:rStyle w:val="CharStyle14"/>
          <w:lang w:val="en-US" w:eastAsia="en-US"/>
        </w:rPr>
        <w:t xml:space="preserve">29.12.2021 № 2571 </w:t>
      </w:r>
      <w:r>
        <w:rPr>
          <w:rStyle w:val="CharStyle14"/>
        </w:rPr>
        <w:t>(работы по строительству некапитального строения, сооружения, благоустройству территории), и победитель закупки представил надлежащие документы, подтверждающие соответствие данным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Комиссия приходит к выводу, что жалоба ООО «КАББАЛКЭНЕРГОСЕРВИС» является необоснованной, а в действиях заказчика не установлены нарушения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 xml:space="preserve">На основании изложенного, руководствуясь частями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106, </w:t>
      </w: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в сфере закупок, Комиссия Владимирского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rStyle w:val="CharStyle14"/>
        </w:rPr>
        <w:t xml:space="preserve">Признать жалобу ООО «КАББАЛКЭНЕРГОСЕРВИС» на положения извещения о проведении электронного аукциона по созданию некапитального модульного спортивного сооружения (модульный плавательный бассейн) (извещение </w:t>
      </w:r>
      <w:r>
        <w:rPr>
          <w:rStyle w:val="CharStyle14"/>
          <w:lang w:val="en-US" w:eastAsia="en-US"/>
        </w:rPr>
        <w:t xml:space="preserve">№ 0128200000126002383) </w:t>
      </w:r>
      <w:r>
        <w:rPr>
          <w:rStyle w:val="CharStyle14"/>
        </w:rPr>
        <w:t>по доводам, изложенным в ней,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  <w:i/>
          <w:iCs/>
        </w:rPr>
        <w:t>Настоящее решение 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5" w:right="544" w:bottom="1131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71475" distL="0" distR="0" simplePos="0" relativeHeight="125829380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114300</wp:posOffset>
                </wp:positionV>
                <wp:extent cx="1597025" cy="21653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70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5pt;margin-top:9.pt;width:125.75pt;height:17.050000000000001pt;z-index:-125829373;mso-wrap-distance-left:0;mso-wrap-distance-top:9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sz w:val="24"/>
                          <w:szCs w:val="2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1610" distB="0" distL="0" distR="1786255" simplePos="0" relativeHeight="125829382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181610</wp:posOffset>
            </wp:positionV>
            <wp:extent cx="359410" cy="52451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586740</wp:posOffset>
                </wp:positionV>
                <wp:extent cx="1283335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5.45000000000002pt;margin-top:46.2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269875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2.30000000000001pt;margin-top:21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71475" distL="0" distR="0" simplePos="0" relativeHeight="125829383" behindDoc="0" locked="0" layoutInCell="1" allowOverlap="1">
                <wp:simplePos x="0" y="0"/>
                <wp:positionH relativeFrom="page">
                  <wp:posOffset>6357620</wp:posOffset>
                </wp:positionH>
                <wp:positionV relativeFrom="paragraph">
                  <wp:posOffset>114300</wp:posOffset>
                </wp:positionV>
                <wp:extent cx="835025" cy="21653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М.В. Фомин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00.60000000000002pt;margin-top:9.pt;width:65.75pt;height:17.050000000000001pt;z-index:-125829370;mso-wrap-distance-left:0;mso-wrap-distance-top:9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sz w:val="24"/>
                          <w:szCs w:val="24"/>
                        </w:rPr>
                        <w:t>М.В. Фомин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6"/>
          <w:rFonts w:ascii="Arial" w:eastAsia="Arial" w:hAnsi="Arial" w:cs="Arial"/>
          <w:sz w:val="12"/>
          <w:szCs w:val="12"/>
        </w:rPr>
        <w:t>Фомин Максим Валерьевич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>0082571</w:t>
      </w:r>
      <w:r>
        <w:rPr>
          <w:rStyle w:val="CharStyle6"/>
          <w:rFonts w:ascii="Arial" w:eastAsia="Arial" w:hAnsi="Arial" w:cs="Arial"/>
          <w:color w:val="424242"/>
          <w:sz w:val="12"/>
          <w:szCs w:val="12"/>
          <w:lang w:val="en-US" w:eastAsia="en-US"/>
        </w:rPr>
        <w:t>FE360703F94BE9662CCFB38D938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Действителен с 24.09.2025 </w:t>
      </w:r>
      <w:r>
        <w:rPr>
          <w:rStyle w:val="CharStyle6"/>
          <w:rFonts w:ascii="Arial" w:eastAsia="Arial" w:hAnsi="Arial" w:cs="Arial"/>
          <w:color w:val="5D5D5D"/>
          <w:sz w:val="12"/>
          <w:szCs w:val="12"/>
        </w:rPr>
        <w:t xml:space="preserve">по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1" w:bottom="1956" w:left="109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246380" distL="0" distR="0" simplePos="0" relativeHeight="125829385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38100</wp:posOffset>
                </wp:positionV>
                <wp:extent cx="1185545" cy="21971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25pt;margin-top:3.pt;width:93.350000000000009pt;height:17.300000000000001pt;z-index:-125829368;mso-wrap-distance-left:0;mso-wrap-distance-top:3.pt;mso-wrap-distance-right:0;mso-wrap-distance-bottom:19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sz w:val="24"/>
                          <w:szCs w:val="24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1125" distB="0" distL="0" distR="1786255" simplePos="0" relativeHeight="125829387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111125</wp:posOffset>
            </wp:positionV>
            <wp:extent cx="359410" cy="39624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196215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2.30000000000001pt;margin-top:15.4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46380" distL="0" distR="0" simplePos="0" relativeHeight="125829388" behindDoc="0" locked="0" layoutInCell="1" allowOverlap="1">
                <wp:simplePos x="0" y="0"/>
                <wp:positionH relativeFrom="page">
                  <wp:posOffset>6244590</wp:posOffset>
                </wp:positionH>
                <wp:positionV relativeFrom="paragraph">
                  <wp:posOffset>38100</wp:posOffset>
                </wp:positionV>
                <wp:extent cx="944880" cy="21971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48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Д.В. Миронов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91.69999999999999pt;margin-top:3.pt;width:74.400000000000006pt;height:17.300000000000001pt;z-index:-125829365;mso-wrap-distance-left:0;mso-wrap-distance-top:3.pt;mso-wrap-distance-right:0;mso-wrap-distance-bottom:19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sz w:val="24"/>
                          <w:szCs w:val="24"/>
                        </w:rPr>
                        <w:t>Д.В. Миронов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6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6"/>
          <w:rFonts w:ascii="Arial" w:eastAsia="Arial" w:hAnsi="Arial" w:cs="Arial"/>
          <w:sz w:val="12"/>
          <w:szCs w:val="12"/>
        </w:rPr>
        <w:t>МИРОНОВ ДМИТРИЙ ВАСИЛЬЕВИЧ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  <w:lang w:val="en-US" w:eastAsia="en-US"/>
        </w:rPr>
        <w:t>00AF2CD2D8CA91780D4FC4E65EDE06044'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Действителен с 24.09.2025 </w:t>
      </w:r>
      <w:r>
        <w:rPr>
          <w:rStyle w:val="CharStyle6"/>
          <w:rFonts w:ascii="Arial" w:eastAsia="Arial" w:hAnsi="Arial" w:cs="Arial"/>
          <w:color w:val="5D5D5D"/>
          <w:sz w:val="12"/>
          <w:szCs w:val="12"/>
        </w:rPr>
        <w:t xml:space="preserve">по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>18.12.2026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  <w:rPr>
          <w:sz w:val="24"/>
          <w:szCs w:val="24"/>
        </w:rPr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2626995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5.5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42.34999999999999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  <w:sz w:val="24"/>
          <w:szCs w:val="24"/>
        </w:rPr>
        <w:t>Е.Ю. Тряпкина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6"/>
          <w:rFonts w:ascii="Arial" w:eastAsia="Arial" w:hAnsi="Arial" w:cs="Arial"/>
          <w:sz w:val="12"/>
          <w:szCs w:val="12"/>
        </w:rPr>
        <w:t>Тряпкина Екатерина Юрьевна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  <w:lang w:val="en-US" w:eastAsia="en-US"/>
        </w:rPr>
        <w:t>00A04C530FD2CB326800C70FDCBD9A3F5</w:t>
      </w:r>
      <w:r>
        <w:rPr>
          <w:rStyle w:val="CharStyle6"/>
          <w:rFonts w:ascii="Arial" w:eastAsia="Arial" w:hAnsi="Arial" w:cs="Arial"/>
          <w:color w:val="424242"/>
          <w:sz w:val="12"/>
          <w:szCs w:val="12"/>
          <w:lang w:val="en-US" w:eastAsia="en-US"/>
        </w:rPr>
        <w:t>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Действителен с 12.09.2025 </w:t>
      </w:r>
      <w:r>
        <w:rPr>
          <w:rStyle w:val="CharStyle6"/>
          <w:rFonts w:ascii="Arial" w:eastAsia="Arial" w:hAnsi="Arial" w:cs="Arial"/>
          <w:color w:val="5D5D5D"/>
          <w:sz w:val="12"/>
          <w:szCs w:val="12"/>
        </w:rPr>
        <w:t xml:space="preserve">по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>06.12.2026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6"/>
          <w:sz w:val="22"/>
          <w:szCs w:val="22"/>
        </w:rPr>
        <w:t>Исп.Тряпкина Е.Ю.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6"/>
          <w:sz w:val="22"/>
          <w:szCs w:val="22"/>
        </w:rPr>
        <w:t>тел.53-39-54,вн.033-102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1" w:bottom="1110" w:left="109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10038080</wp:posOffset>
              </wp:positionV>
              <wp:extent cx="658495" cy="8826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00000000000003pt;margin-top:790.39999999999998pt;width:51.850000000000001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9888220</wp:posOffset>
              </wp:positionV>
              <wp:extent cx="658495" cy="8826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8.60000000000002pt;width:51.850000000000001pt;height:6.95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Other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ing #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Other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