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rStyle w:val="CharStyle9"/>
          <w:b/>
          <w:bCs/>
        </w:rPr>
        <w:t>УПРАВЛЕНИЕ</w:t>
      </w:r>
    </w:p>
    <w:p>
      <w:pPr>
        <w:pStyle w:val="Style8"/>
        <w:keepNext w:val="0"/>
        <w:keepLines w:val="0"/>
        <w:widowControl w:val="0"/>
        <w:shd w:val="clear" w:color="auto" w:fill="auto"/>
        <w:bidi w:val="0"/>
        <w:spacing w:before="0" w:after="180" w:line="254" w:lineRule="auto"/>
        <w:ind w:left="0" w:right="0" w:firstLine="0"/>
        <w:jc w:val="center"/>
      </w:pPr>
      <w:r>
        <w:rPr>
          <w:rStyle w:val="CharStyle9"/>
          <w:b/>
          <w:bCs/>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line="276" w:lineRule="auto"/>
        <w:ind w:left="0" w:right="0" w:firstLine="0"/>
        <w:jc w:val="center"/>
      </w:pPr>
      <w:r>
        <w:rPr>
          <w:rStyle w:val="CharStyle6"/>
        </w:rPr>
        <w:t>ул. 7-я Гвардейская, д. 12, г. Волгоград, 400005</w:t>
        <w:br/>
        <w:t>тел. (8442) 24-22-65, факс (8442) 24-22-76</w:t>
        <w:br/>
      </w:r>
      <w:r>
        <w:rPr>
          <w:rStyle w:val="CharStyle6"/>
          <w:lang w:val="en-US" w:eastAsia="en-US"/>
        </w:rPr>
        <w:t xml:space="preserve">e-mail: </w:t>
      </w:r>
      <w:r>
        <w:fldChar w:fldCharType="begin"/>
      </w:r>
      <w:r>
        <w:rPr/>
        <w:instrText> HYPERLINK "mailto:to34@fas.gov.ru" </w:instrText>
      </w:r>
      <w:r>
        <w:fldChar w:fldCharType="separate"/>
      </w:r>
      <w:r>
        <w:rPr>
          <w:rStyle w:val="CharStyle6"/>
          <w:lang w:val="en-US" w:eastAsia="en-US"/>
        </w:rPr>
        <w:t>to34@fas.gov.ru</w:t>
      </w:r>
      <w:r>
        <w:fldChar w:fldCharType="end"/>
      </w:r>
    </w:p>
    <w:p>
      <w:pPr>
        <w:pStyle w:val="Style8"/>
        <w:keepNext w:val="0"/>
        <w:keepLines w:val="0"/>
        <w:widowControl w:val="0"/>
        <w:shd w:val="clear" w:color="auto" w:fill="auto"/>
        <w:tabs>
          <w:tab w:leader="underscore" w:pos="1766" w:val="left"/>
          <w:tab w:leader="underscore" w:pos="3931" w:val="left"/>
        </w:tabs>
        <w:bidi w:val="0"/>
        <w:spacing w:before="0" w:after="260" w:line="240" w:lineRule="auto"/>
        <w:ind w:left="0" w:right="0" w:firstLine="0"/>
        <w:jc w:val="left"/>
        <w:rPr>
          <w:sz w:val="20"/>
          <w:szCs w:val="20"/>
        </w:rPr>
      </w:pPr>
      <w:r>
        <w:rPr>
          <w:rStyle w:val="CharStyle9"/>
          <w:sz w:val="20"/>
          <w:szCs w:val="20"/>
        </w:rPr>
        <w:tab/>
        <w:t xml:space="preserve"> №</w:t>
        <w:tab/>
      </w:r>
    </w:p>
    <w:p>
      <w:pPr>
        <w:pStyle w:val="Style11"/>
        <w:keepNext w:val="0"/>
        <w:keepLines w:val="0"/>
        <w:widowControl w:val="0"/>
        <w:shd w:val="clear" w:color="auto" w:fill="auto"/>
        <w:bidi w:val="0"/>
        <w:spacing w:before="0" w:after="0" w:line="240" w:lineRule="auto"/>
        <w:ind w:left="0" w:right="0" w:firstLine="0"/>
        <w:jc w:val="left"/>
      </w:pPr>
      <w:r>
        <w:rPr>
          <w:rStyle w:val="CharStyle12"/>
        </w:rPr>
        <w:t xml:space="preserve">На№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rStyle w:val="CharStyle14"/>
        </w:rPr>
        <w:t>АО "Единая электронная торговая площадка"</w:t>
      </w:r>
    </w:p>
    <w:p>
      <w:pPr>
        <w:pStyle w:val="Style13"/>
        <w:keepNext w:val="0"/>
        <w:keepLines w:val="0"/>
        <w:widowControl w:val="0"/>
        <w:shd w:val="clear" w:color="auto" w:fill="auto"/>
        <w:bidi w:val="0"/>
        <w:spacing w:before="0" w:after="0" w:line="240" w:lineRule="auto"/>
        <w:ind w:left="0" w:right="0" w:firstLine="0"/>
        <w:jc w:val="left"/>
      </w:pPr>
      <w:r>
        <w:rPr>
          <w:rStyle w:val="CharStyle14"/>
        </w:rPr>
        <w:t>ул. Кожевническая, д. 14, стр. 5, г. Москва, 115114</w:t>
      </w:r>
    </w:p>
    <w:p>
      <w:pPr>
        <w:pStyle w:val="Style13"/>
        <w:keepNext w:val="0"/>
        <w:keepLines w:val="0"/>
        <w:widowControl w:val="0"/>
        <w:shd w:val="clear" w:color="auto" w:fill="auto"/>
        <w:bidi w:val="0"/>
        <w:spacing w:before="0" w:after="260" w:line="240" w:lineRule="auto"/>
        <w:ind w:left="0" w:right="0" w:firstLine="0"/>
        <w:jc w:val="left"/>
      </w:pPr>
      <w:r>
        <w:rPr>
          <w:rStyle w:val="CharStyle14"/>
          <w:lang w:val="en-US" w:eastAsia="en-US"/>
        </w:rPr>
        <w:t>ko@roseltorg.ru;</w:t>
      </w:r>
      <w:r>
        <w:fldChar w:fldCharType="begin"/>
      </w:r>
      <w:r>
        <w:rPr/>
        <w:instrText> HYPERLINK "mailto:info@roseltorg.ru" </w:instrText>
      </w:r>
      <w:r>
        <w:fldChar w:fldCharType="separate"/>
      </w:r>
      <w:r>
        <w:rPr>
          <w:rStyle w:val="CharStyle14"/>
          <w:lang w:val="en-US" w:eastAsia="en-US"/>
        </w:rPr>
        <w:t>info@roseltorg.ru</w:t>
      </w:r>
      <w:r>
        <w:fldChar w:fldCharType="end"/>
      </w:r>
    </w:p>
    <w:p>
      <w:pPr>
        <w:pStyle w:val="Style13"/>
        <w:keepNext w:val="0"/>
        <w:keepLines w:val="0"/>
        <w:widowControl w:val="0"/>
        <w:shd w:val="clear" w:color="auto" w:fill="auto"/>
        <w:bidi w:val="0"/>
        <w:spacing w:before="0" w:after="0" w:line="240" w:lineRule="auto"/>
        <w:ind w:left="0" w:right="0" w:firstLine="0"/>
        <w:jc w:val="left"/>
      </w:pPr>
      <w:r>
        <w:rPr>
          <w:rStyle w:val="CharStyle14"/>
        </w:rPr>
        <w:t>ФГБОУ ВО "Волгоградский государственный медицинский университет" Министерства здравоохранения Российской Федерации пл. Павших Борцов, д. 1, Волгоград, 400131</w:t>
      </w:r>
    </w:p>
    <w:p>
      <w:pPr>
        <w:pStyle w:val="Style13"/>
        <w:keepNext w:val="0"/>
        <w:keepLines w:val="0"/>
        <w:widowControl w:val="0"/>
        <w:shd w:val="clear" w:color="auto" w:fill="auto"/>
        <w:bidi w:val="0"/>
        <w:spacing w:before="0" w:after="260" w:line="240" w:lineRule="auto"/>
        <w:ind w:left="0" w:right="0" w:firstLine="0"/>
        <w:jc w:val="left"/>
      </w:pPr>
      <w:r>
        <w:rPr>
          <w:rStyle w:val="CharStyle14"/>
          <w:lang w:val="en-US" w:eastAsia="en-US"/>
        </w:rPr>
        <w:t>z.volggmu@mail.ru;</w:t>
      </w:r>
      <w:r>
        <w:fldChar w:fldCharType="begin"/>
      </w:r>
      <w:r>
        <w:rPr/>
        <w:instrText> HYPERLINK "mailto:post@volgmed.ru" </w:instrText>
      </w:r>
      <w:r>
        <w:fldChar w:fldCharType="separate"/>
      </w:r>
      <w:r>
        <w:rPr>
          <w:rStyle w:val="CharStyle14"/>
          <w:lang w:val="en-US" w:eastAsia="en-US"/>
        </w:rPr>
        <w:t>post@volgmed.ru</w:t>
      </w:r>
      <w:r>
        <w:fldChar w:fldCharType="end"/>
      </w:r>
    </w:p>
    <w:p>
      <w:pPr>
        <w:pStyle w:val="Style13"/>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79" w:right="728" w:bottom="1212" w:left="1135" w:header="0" w:footer="3" w:gutter="0"/>
          <w:pgNumType w:start="1"/>
          <w:cols w:num="2" w:space="720" w:equalWidth="0">
            <w:col w:w="4099" w:space="1171"/>
            <w:col w:w="4766"/>
          </w:cols>
          <w:noEndnote/>
          <w:titlePg/>
          <w:rtlGutter w:val="0"/>
          <w:docGrid w:linePitch="360"/>
        </w:sectPr>
      </w:pPr>
      <w:r>
        <w:rPr>
          <w:rStyle w:val="CharStyle14"/>
        </w:rPr>
        <w:t xml:space="preserve">ОБЩЕСТВО С ОГРАНИЧЕННОЙ ОТВЕТСТВЕННОСТЬЮ "АЛПИ-ФАРМ" 107370, Г.МОСКВА, Ш. ОТКРЫТОЕ, Д. 12, СТР. 2, 3 ЭТАЖ ПОМ </w:t>
      </w:r>
      <w:r>
        <w:rPr>
          <w:rStyle w:val="CharStyle14"/>
          <w:lang w:val="en-US" w:eastAsia="en-US"/>
        </w:rPr>
        <w:t xml:space="preserve">XIII </w:t>
      </w:r>
      <w:r>
        <w:rPr>
          <w:rStyle w:val="CharStyle14"/>
        </w:rPr>
        <w:t xml:space="preserve">КОМН 1 </w:t>
      </w:r>
      <w:r>
        <w:fldChar w:fldCharType="begin"/>
      </w:r>
      <w:r>
        <w:rPr/>
        <w:instrText> HYPERLINK "mailto:info@alpifarm.ru" </w:instrText>
      </w:r>
      <w:r>
        <w:fldChar w:fldCharType="separate"/>
      </w:r>
      <w:r>
        <w:rPr>
          <w:rStyle w:val="CharStyle14"/>
          <w:lang w:val="en-US" w:eastAsia="en-US"/>
        </w:rPr>
        <w:t>info@alpifarm.ru</w:t>
      </w:r>
      <w:r>
        <w:fldChar w:fldCharType="end"/>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755" w:right="0" w:bottom="936" w:left="0" w:header="0" w:footer="3" w:gutter="0"/>
          <w:cols w:space="720"/>
          <w:noEndnote/>
          <w:rtlGutter w:val="0"/>
          <w:docGrid w:linePitch="360"/>
        </w:sectPr>
      </w:pPr>
    </w:p>
    <w:p>
      <w:pPr>
        <w:pStyle w:val="Style13"/>
        <w:keepNext w:val="0"/>
        <w:keepLines w:val="0"/>
        <w:widowControl w:val="0"/>
        <w:shd w:val="clear" w:color="auto" w:fill="auto"/>
        <w:bidi w:val="0"/>
        <w:spacing w:before="0" w:after="280" w:line="240" w:lineRule="auto"/>
        <w:ind w:left="0" w:right="0" w:firstLine="0"/>
        <w:jc w:val="center"/>
      </w:pPr>
      <w:r>
        <w:rPr>
          <w:rStyle w:val="CharStyle14"/>
        </w:rPr>
        <w:t>РЕШЕНИЕ</w:t>
        <w:br/>
        <w:t>по делу № 034/06/105-527/2026</w:t>
        <w:br/>
        <w:t>о нарушении законодательства о контрактной системе</w:t>
      </w:r>
    </w:p>
    <w:p>
      <w:pPr>
        <w:pStyle w:val="Style13"/>
        <w:keepNext w:val="0"/>
        <w:keepLines w:val="0"/>
        <w:widowControl w:val="0"/>
        <w:shd w:val="clear" w:color="auto" w:fill="auto"/>
        <w:bidi w:val="0"/>
        <w:spacing w:before="0" w:after="32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6405245</wp:posOffset>
                </wp:positionH>
                <wp:positionV relativeFrom="paragraph">
                  <wp:posOffset>12700</wp:posOffset>
                </wp:positionV>
                <wp:extent cx="755650" cy="234950"/>
                <wp:wrapSquare wrapText="left"/>
                <wp:docPr id="9" name="Shape 9"/>
                <a:graphic xmlns:a="http://schemas.openxmlformats.org/drawingml/2006/main">
                  <a:graphicData uri="http://schemas.microsoft.com/office/word/2010/wordprocessingShape">
                    <wps:wsp>
                      <wps:cNvSpPr txBox="1"/>
                      <wps:spPr>
                        <a:xfrm>
                          <a:ext cx="75565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Волгоград</w:t>
                            </w:r>
                          </w:p>
                        </w:txbxContent>
                      </wps:txbx>
                      <wps:bodyPr wrap="none" lIns="0" tIns="0" rIns="0" bIns="0">
                        <a:noAutoFit/>
                      </wps:bodyPr>
                    </wps:wsp>
                  </a:graphicData>
                </a:graphic>
              </wp:anchor>
            </w:drawing>
          </mc:Choice>
          <mc:Fallback>
            <w:pict>
              <v:shape id="_x0000_s1035" type="#_x0000_t202" style="position:absolute;margin-left:504.35000000000002pt;margin-top:1.pt;width:59.5pt;height:18.5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Волгоград</w:t>
                      </w:r>
                    </w:p>
                  </w:txbxContent>
                </v:textbox>
                <w10:wrap type="square" side="left" anchorx="page"/>
              </v:shape>
            </w:pict>
          </mc:Fallback>
        </mc:AlternateContent>
      </w:r>
      <w:r>
        <w:rPr>
          <w:rStyle w:val="CharStyle14"/>
        </w:rPr>
        <w:t>14 мая 2026 года</w:t>
      </w:r>
    </w:p>
    <w:p>
      <w:pPr>
        <w:pStyle w:val="Style13"/>
        <w:keepNext w:val="0"/>
        <w:keepLines w:val="0"/>
        <w:widowControl w:val="0"/>
        <w:shd w:val="clear" w:color="auto" w:fill="auto"/>
        <w:bidi w:val="0"/>
        <w:spacing w:before="0" w:after="0" w:line="240" w:lineRule="auto"/>
        <w:ind w:left="0" w:right="0" w:firstLine="740"/>
        <w:jc w:val="both"/>
      </w:pPr>
      <w:r>
        <w:rPr>
          <w:rStyle w:val="CharStyle14"/>
        </w:rPr>
        <w:t>Комиссия Управления Федеральной антимонопольной службы по Волгоградской области (далее – Волгоградское УФАС России, Управление) по контролю за соблюдением законодательства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rStyle w:val="CharStyle14"/>
        </w:rPr>
        <w:t>с участием:</w:t>
      </w:r>
    </w:p>
    <w:p>
      <w:pPr>
        <w:pStyle w:val="Style13"/>
        <w:keepNext w:val="0"/>
        <w:keepLines w:val="0"/>
        <w:widowControl w:val="0"/>
        <w:shd w:val="clear" w:color="auto" w:fill="auto"/>
        <w:bidi w:val="0"/>
        <w:spacing w:before="0" w:after="0" w:line="240" w:lineRule="auto"/>
        <w:ind w:left="0" w:right="0" w:firstLine="740"/>
        <w:jc w:val="both"/>
      </w:pPr>
      <w:r>
        <w:rPr>
          <w:rStyle w:val="CharStyle14"/>
        </w:rPr>
        <w:t>ООО «Алпи-Фарм»;</w:t>
      </w:r>
    </w:p>
    <w:p>
      <w:pPr>
        <w:pStyle w:val="Style13"/>
        <w:keepNext w:val="0"/>
        <w:keepLines w:val="0"/>
        <w:widowControl w:val="0"/>
        <w:shd w:val="clear" w:color="auto" w:fill="auto"/>
        <w:bidi w:val="0"/>
        <w:spacing w:before="0" w:after="0" w:line="240" w:lineRule="auto"/>
        <w:ind w:left="0" w:right="0" w:firstLine="740"/>
        <w:jc w:val="both"/>
      </w:pPr>
      <w:r>
        <w:rPr>
          <w:rStyle w:val="CharStyle14"/>
        </w:rPr>
        <w:t>ФГБОУ ВО «Волгоградский государственный медицинский университет» Министерства здравоохранения Российской Федерации,</w:t>
      </w:r>
    </w:p>
    <w:p>
      <w:pPr>
        <w:pStyle w:val="Style13"/>
        <w:keepNext w:val="0"/>
        <w:keepLines w:val="0"/>
        <w:widowControl w:val="0"/>
        <w:shd w:val="clear" w:color="auto" w:fill="auto"/>
        <w:bidi w:val="0"/>
        <w:spacing w:before="0" w:after="0" w:line="240" w:lineRule="auto"/>
        <w:ind w:left="0" w:right="0" w:firstLine="740"/>
        <w:jc w:val="both"/>
      </w:pPr>
      <w:r>
        <w:rPr>
          <w:rStyle w:val="CharStyle14"/>
        </w:rPr>
        <w:t>рассмотрев жалобу ООО «Алпи-Фарм» (далее – Заявитель) вх. № 5292/26 от 12.05.2026 на действия заказчика при проведении электронного аукциона «Поставка лекарственного препарата для медицинского применения (МНН - Натрия хлорид) для нужд Клиники №1 ФГБОУ ВО ВолгГМУ Минздрава России (ЛП-113/26/К1)» (номер извещения 0329100015826000115),</w:t>
      </w:r>
    </w:p>
    <w:p>
      <w:pPr>
        <w:pStyle w:val="Style13"/>
        <w:keepNext w:val="0"/>
        <w:keepLines w:val="0"/>
        <w:widowControl w:val="0"/>
        <w:shd w:val="clear" w:color="auto" w:fill="auto"/>
        <w:bidi w:val="0"/>
        <w:spacing w:before="0" w:after="280" w:line="240" w:lineRule="auto"/>
        <w:ind w:left="0" w:right="0" w:firstLine="0"/>
        <w:jc w:val="center"/>
      </w:pPr>
      <w:r>
        <w:rPr>
          <w:rStyle w:val="CharStyle14"/>
        </w:rPr>
        <w:t>УСТАНОВИЛА:</w:t>
      </w:r>
    </w:p>
    <w:p>
      <w:pPr>
        <w:pStyle w:val="Style13"/>
        <w:keepNext w:val="0"/>
        <w:keepLines w:val="0"/>
        <w:widowControl w:val="0"/>
        <w:shd w:val="clear" w:color="auto" w:fill="auto"/>
        <w:bidi w:val="0"/>
        <w:spacing w:before="0" w:after="760" w:line="240" w:lineRule="auto"/>
        <w:ind w:left="0" w:right="0" w:firstLine="740"/>
        <w:jc w:val="both"/>
      </w:pPr>
      <w:r>
        <w:rPr>
          <w:rStyle w:val="CharStyle14"/>
        </w:rPr>
        <w:t xml:space="preserve">На официальном сайте </w:t>
      </w:r>
      <w:r>
        <w:fldChar w:fldCharType="begin"/>
      </w:r>
      <w:r>
        <w:rPr/>
        <w:instrText> HYPERLINK "http://www.zakupki.gov.ru" </w:instrText>
      </w:r>
      <w:r>
        <w:fldChar w:fldCharType="separate"/>
      </w:r>
      <w:r>
        <w:rPr>
          <w:rStyle w:val="CharStyle14"/>
          <w:lang w:val="en-US" w:eastAsia="en-US"/>
        </w:rPr>
        <w:t>www.zakupki.gov.ru</w:t>
      </w:r>
      <w:r>
        <w:fldChar w:fldCharType="end"/>
      </w:r>
      <w:r>
        <w:rPr>
          <w:rStyle w:val="CharStyle14"/>
          <w:lang w:val="en-US" w:eastAsia="en-US"/>
        </w:rPr>
        <w:t xml:space="preserve"> </w:t>
      </w:r>
      <w:r>
        <w:rPr>
          <w:rStyle w:val="CharStyle14"/>
        </w:rPr>
        <w:t>(далее – ЕИС) 30.04.2026 было размещено извещение о проведении электронного аукциона «Поставка лекарственного препарата для медицинского применения (МНН - Натрия хлорид) для нужд Клиники №1</w:t>
      </w:r>
    </w:p>
    <w:p>
      <w:pPr>
        <w:pStyle w:val="Style15"/>
        <w:keepNext/>
        <w:keepLines/>
        <w:widowControl w:val="0"/>
        <w:shd w:val="clear" w:color="auto" w:fill="auto"/>
        <w:bidi w:val="0"/>
        <w:spacing w:before="0" w:line="240" w:lineRule="auto"/>
        <w:ind w:left="0" w:right="0" w:firstLine="0"/>
        <w:jc w:val="left"/>
      </w:pPr>
      <w:bookmarkStart w:id="0" w:name="bookmark0"/>
      <w:r>
        <w:rPr>
          <w:rStyle w:val="CharStyle16"/>
        </w:rPr>
        <w:t>IIIIIIIIIIIIIIIIIIIIIIII</w:t>
      </w:r>
      <w:bookmarkEnd w:id="0"/>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ФГБОУ ВО ВолгГМУ Минздрава России (ЛП-113/26/К1)» (номер извещения </w:t>
      </w:r>
      <w:r>
        <w:rPr>
          <w:rStyle w:val="CharStyle14"/>
          <w:lang w:val="en-US" w:eastAsia="en-US"/>
        </w:rPr>
        <w:t xml:space="preserve">0329100015826000115). </w:t>
      </w:r>
      <w:r>
        <w:rPr>
          <w:rStyle w:val="CharStyle14"/>
        </w:rPr>
        <w:t xml:space="preserve">Начальная (максимальная) цена контракта </w:t>
      </w:r>
      <w:r>
        <w:rPr>
          <w:rStyle w:val="CharStyle14"/>
          <w:lang w:val="en-US" w:eastAsia="en-US"/>
        </w:rPr>
        <w:t xml:space="preserve">–3 113 600,00 </w:t>
      </w:r>
      <w:r>
        <w:rPr>
          <w:rStyle w:val="CharStyle14"/>
        </w:rPr>
        <w:t>рублей.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доводам жалобы Заказчиком нарушены положения 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 xml:space="preserve">Закон о контрактной системе) так как по позициям </w:t>
      </w:r>
      <w:r>
        <w:rPr>
          <w:rStyle w:val="CharStyle14"/>
          <w:lang w:val="en-US" w:eastAsia="en-US"/>
        </w:rPr>
        <w:t xml:space="preserve">№ 1, № 2, № 3 </w:t>
      </w:r>
      <w:r>
        <w:rPr>
          <w:rStyle w:val="CharStyle14"/>
        </w:rPr>
        <w:t xml:space="preserve">содержатся дополнительные требования: «В полимерной таре (не содержащей в своем составе ПВХ), занимающей устойчивое вертикальное положение портами вверх, флакон самоспадающийся, с двумя отдельными стерильными портами, под которыми находится резиновый диск, </w:t>
      </w:r>
      <w:r>
        <w:rPr>
          <w:rStyle w:val="CharStyle14"/>
          <w:u w:val="single"/>
        </w:rPr>
        <w:t>каждый из портов по отдельности запечатан фольгой</w:t>
      </w:r>
      <w:r>
        <w:rPr>
          <w:rStyle w:val="CharStyle14"/>
        </w:rPr>
        <w:t>, при вскрытии одного порта стерильность второго сохраняется, возможность контроля инфузии на всем ее протяжении, наличие свободного объема не менее 50мл, совместим с канюлей для смешивания».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По мнению Заявителя, требование заказчика о том, что каждый из портов инфузионной тары должен быть отдельно запечатан фольгой, является избыточным, и нарушающим положения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части данного довода заказчик пояснил следующее.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Порты, запечатанные фольгой, позволяют осуществлять полноценную обработку колпачка дезинфектантом.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При использовании флаконов с иным способом запечатывания портов (полимерные пробки, крышки и т.п.) невозможно безопасно провести смешивание, разведение и забор препарата с использованием безигольных расходных материалов, имеющихся в наличии у заказчика.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Использование безигольных устройств для смешивания типа двусторонних канюль с сохранением стерильности не используемого порта возможно только при закрытии портов фольгой, при наличии выступающих частей- пробок или колец </w:t>
      </w:r>
      <w:r>
        <w:rPr>
          <w:rStyle w:val="CharStyle14"/>
          <w:lang w:val="en-US" w:eastAsia="en-US"/>
        </w:rPr>
        <w:t xml:space="preserve">– </w:t>
      </w:r>
      <w:r>
        <w:rPr>
          <w:rStyle w:val="CharStyle14"/>
        </w:rPr>
        <w:t>подсоединение устройств для смешивания при вскрытии одного порта невозможно, то есть для подсоединения необходимо вскрыть и расстерилизовать оба порта, что приводит к потери самого смысла наличия двух стерильных портов.</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Поэтому требование к препарату в технической документации, «с двумя отдельными стерильными портами, под которыми находится резиновый диск, каждый из портов запечатан фольгой, при вскрытии одного порта стерильность второго сохраняется» обосновано требованиями безопасности инфузионной терапии.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Данное требование соответствует фармакопейным требованиям к стерильным лекарственным формам, а также направлено на минимизацию рисков для пациентов, особенно в отделениях с высоким уровнем инфекционной нагрузки.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Также, представитель заказчика просил учесть, что частью </w:t>
      </w:r>
      <w:r>
        <w:rPr>
          <w:rStyle w:val="CharStyle14"/>
          <w:lang w:val="en-US" w:eastAsia="en-US"/>
        </w:rPr>
        <w:t xml:space="preserve">2 </w:t>
      </w:r>
      <w:r>
        <w:rPr>
          <w:rStyle w:val="CharStyle14"/>
        </w:rPr>
        <w:t xml:space="preserve">статьи </w:t>
      </w:r>
      <w:r>
        <w:rPr>
          <w:rStyle w:val="CharStyle14"/>
          <w:lang w:val="en-US" w:eastAsia="en-US"/>
        </w:rPr>
        <w:t xml:space="preserve">98 </w:t>
      </w:r>
      <w:r>
        <w:rPr>
          <w:rStyle w:val="CharStyle14"/>
        </w:rPr>
        <w:t xml:space="preserve">Закона </w:t>
      </w:r>
      <w:r>
        <w:rPr>
          <w:rStyle w:val="CharStyle14"/>
          <w:lang w:val="en-US" w:eastAsia="en-US"/>
        </w:rPr>
        <w:t xml:space="preserve">№ </w:t>
      </w:r>
      <w:r>
        <w:rPr>
          <w:rStyle w:val="CharStyle14"/>
        </w:rPr>
        <w:t>323-ФЗ предусмотрена ответственность медицинских работников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Учитывая, что закупаемый медицинский препарат оказывают непосредственное влияние на здоровье и жизнь человека, при установлении конкретных требований к объекту закупки определяющим является достижение при лечении пациентов максимальное исключение любых нежелательных реакций и последствий в рамках оказания медицинской помощи.</w:t>
      </w:r>
    </w:p>
    <w:p>
      <w:pPr>
        <w:pStyle w:val="Style13"/>
        <w:keepNext w:val="0"/>
        <w:keepLines w:val="0"/>
        <w:widowControl w:val="0"/>
        <w:shd w:val="clear" w:color="auto" w:fill="auto"/>
        <w:bidi w:val="0"/>
        <w:spacing w:before="0" w:after="0" w:line="240" w:lineRule="auto"/>
        <w:ind w:left="0" w:right="0" w:firstLine="780"/>
        <w:jc w:val="both"/>
      </w:pPr>
      <w:r>
        <w:rPr>
          <w:rStyle w:val="CharStyle14"/>
        </w:rPr>
        <w:t xml:space="preserve">Также Комиссия установила, что в разделе «Описание объекта закупки» содержится обоснование применения дополнительной характеристики </w:t>
      </w:r>
      <w:r>
        <w:rPr>
          <w:rStyle w:val="CharStyle14"/>
          <w:lang w:val="en-US" w:eastAsia="en-US"/>
        </w:rPr>
        <w:t xml:space="preserve">- </w:t>
      </w:r>
      <w:r>
        <w:rPr>
          <w:rStyle w:val="CharStyle14"/>
        </w:rPr>
        <w:t>«каждый из портов по отдельности запечатан фольгой».</w:t>
      </w:r>
    </w:p>
    <w:p>
      <w:pPr>
        <w:pStyle w:val="Style13"/>
        <w:keepNext w:val="0"/>
        <w:keepLines w:val="0"/>
        <w:widowControl w:val="0"/>
        <w:shd w:val="clear" w:color="auto" w:fill="auto"/>
        <w:bidi w:val="0"/>
        <w:spacing w:before="0" w:after="0" w:line="240" w:lineRule="auto"/>
        <w:ind w:left="0" w:right="0" w:firstLine="780"/>
        <w:jc w:val="both"/>
      </w:pPr>
      <w:r>
        <w:rPr>
          <w:rStyle w:val="CharStyle14"/>
        </w:rPr>
        <w:t>В настоящем случае требование «каждый из портов по отдельности запечатан фольгой» определено заказчиком исходя из своей потребности. Безусловного запрета для его установления при рассмотрении дела не установлено.</w:t>
      </w:r>
    </w:p>
    <w:p>
      <w:pPr>
        <w:pStyle w:val="Style13"/>
        <w:keepNext w:val="0"/>
        <w:keepLines w:val="0"/>
        <w:widowControl w:val="0"/>
        <w:shd w:val="clear" w:color="auto" w:fill="auto"/>
        <w:bidi w:val="0"/>
        <w:spacing w:before="0" w:after="0" w:line="240" w:lineRule="auto"/>
        <w:ind w:left="0" w:right="0" w:firstLine="780"/>
        <w:jc w:val="both"/>
      </w:pPr>
      <w:r>
        <w:rPr>
          <w:rStyle w:val="CharStyle14"/>
        </w:rPr>
        <w:t>Доказательств, опровергающих позицию заказчика не установлено, с связи с чем довод является необоснованным.</w:t>
      </w:r>
    </w:p>
    <w:p>
      <w:pPr>
        <w:pStyle w:val="Style13"/>
        <w:keepNext w:val="0"/>
        <w:keepLines w:val="0"/>
        <w:widowControl w:val="0"/>
        <w:shd w:val="clear" w:color="auto" w:fill="auto"/>
        <w:bidi w:val="0"/>
        <w:spacing w:before="0" w:after="0" w:line="240" w:lineRule="auto"/>
        <w:ind w:left="0" w:right="0" w:firstLine="780"/>
        <w:jc w:val="both"/>
      </w:pPr>
      <w:r>
        <w:rPr>
          <w:rStyle w:val="CharStyle14"/>
        </w:rPr>
        <w:t xml:space="preserve">Согласно доводам жалобы, заказчиком при формировании извещения неправомерно включен в состав лота лекарственный препарат МНН Натрия хлорид раствор для инфузий, дозировка </w:t>
      </w:r>
      <w:r>
        <w:rPr>
          <w:rStyle w:val="CharStyle14"/>
          <w:lang w:val="en-US" w:eastAsia="en-US"/>
        </w:rPr>
        <w:t xml:space="preserve">9 </w:t>
      </w:r>
      <w:r>
        <w:rPr>
          <w:rStyle w:val="CharStyle14"/>
        </w:rPr>
        <w:t xml:space="preserve">мг/мл в объеме наполнения </w:t>
      </w:r>
      <w:r>
        <w:rPr>
          <w:rStyle w:val="CharStyle14"/>
          <w:lang w:val="en-US" w:eastAsia="en-US"/>
        </w:rPr>
        <w:t xml:space="preserve">350 </w:t>
      </w:r>
      <w:r>
        <w:rPr>
          <w:rStyle w:val="CharStyle14"/>
        </w:rPr>
        <w:t xml:space="preserve">мл (позиция </w:t>
      </w:r>
      <w:r>
        <w:rPr>
          <w:rStyle w:val="CharStyle14"/>
          <w:lang w:val="en-US" w:eastAsia="en-US"/>
        </w:rPr>
        <w:t xml:space="preserve">№ 2), </w:t>
      </w:r>
      <w:r>
        <w:rPr>
          <w:rStyle w:val="CharStyle14"/>
        </w:rPr>
        <w:t>так как лекарственный препарат, соответствующий вышеуказанным требованиям, не вводился в гражданский оборот, в связи с чем не может быть поставлен в рамках контракта, заключаемого по результатам обжалуемой конкурентной процедуры, что не позволяет участникам закупки сформировать предложение для участия в закупке.</w:t>
      </w:r>
    </w:p>
    <w:p>
      <w:pPr>
        <w:pStyle w:val="Style13"/>
        <w:keepNext w:val="0"/>
        <w:keepLines w:val="0"/>
        <w:widowControl w:val="0"/>
        <w:shd w:val="clear" w:color="auto" w:fill="auto"/>
        <w:bidi w:val="0"/>
        <w:spacing w:before="0" w:after="0" w:line="240" w:lineRule="auto"/>
        <w:ind w:left="0" w:right="0" w:firstLine="780"/>
        <w:jc w:val="both"/>
      </w:pPr>
      <w:r>
        <w:rPr>
          <w:rStyle w:val="CharStyle14"/>
        </w:rPr>
        <w:t xml:space="preserve">Согласно пункту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shd w:val="clear" w:color="auto" w:fill="auto"/>
        <w:bidi w:val="0"/>
        <w:spacing w:before="0" w:after="0" w:line="240" w:lineRule="auto"/>
        <w:ind w:left="0" w:right="0" w:firstLine="780"/>
        <w:jc w:val="both"/>
        <w:sectPr>
          <w:footnotePr>
            <w:pos w:val="pageBottom"/>
            <w:numFmt w:val="decimal"/>
            <w:numRestart w:val="continuous"/>
          </w:footnotePr>
          <w:type w:val="continuous"/>
          <w:pgSz w:w="11900" w:h="16840"/>
          <w:pgMar w:top="755" w:right="539" w:bottom="936" w:left="1099" w:header="0" w:footer="3" w:gutter="0"/>
          <w:cols w:space="720"/>
          <w:noEndnote/>
          <w:rtlGutter w:val="0"/>
          <w:docGrid w:linePitch="360"/>
        </w:sectPr>
      </w:pPr>
      <w:r>
        <w:rPr>
          <w:rStyle w:val="CharStyle14"/>
        </w:rPr>
        <w:t xml:space="preserve">В силу пункта </w:t>
      </w:r>
      <w:r>
        <w:rPr>
          <w:rStyle w:val="CharStyle14"/>
          <w:lang w:val="en-US" w:eastAsia="en-US"/>
        </w:rPr>
        <w:t xml:space="preserve">6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 xml:space="preserve">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пунктом </w:t>
      </w:r>
      <w:r>
        <w:rPr>
          <w:rStyle w:val="CharStyle14"/>
          <w:lang w:val="en-US" w:eastAsia="en-US"/>
        </w:rPr>
        <w:t xml:space="preserve">2 </w:t>
      </w:r>
      <w:r>
        <w:rPr>
          <w:rStyle w:val="CharStyle14"/>
        </w:rPr>
        <w:t xml:space="preserve">части </w:t>
      </w:r>
      <w:r>
        <w:rPr>
          <w:rStyle w:val="CharStyle14"/>
          <w:lang w:val="en-US" w:eastAsia="en-US"/>
        </w:rPr>
        <w:t xml:space="preserve">10 </w:t>
      </w:r>
      <w:r>
        <w:rPr>
          <w:rStyle w:val="CharStyle14"/>
        </w:rPr>
        <w:t xml:space="preserve">статьи </w:t>
      </w:r>
      <w:r>
        <w:rPr>
          <w:rStyle w:val="CharStyle14"/>
          <w:lang w:val="en-US" w:eastAsia="en-US"/>
        </w:rPr>
        <w:t xml:space="preserve">24 </w:t>
      </w:r>
      <w:r>
        <w:rPr>
          <w:rStyle w:val="CharStyle14"/>
        </w:rPr>
        <w:t>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со встречными инвестиционными обязательствами в соответствии со статьей </w:t>
      </w:r>
      <w:r>
        <w:rPr>
          <w:rStyle w:val="CharStyle14"/>
          <w:lang w:val="en-US" w:eastAsia="en-US"/>
        </w:rPr>
        <w:t xml:space="preserve">111.4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частью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 xml:space="preserve">Закона о контрактной системе описание объекта закупки в соответствии с требованиями, указанными в 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4"/>
          <w:lang w:val="en-US" w:eastAsia="en-US"/>
        </w:rPr>
        <w:t xml:space="preserve">33 </w:t>
      </w:r>
      <w:r>
        <w:rPr>
          <w:rStyle w:val="CharStyle14"/>
        </w:rPr>
        <w:t>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соответствии с пунктом </w:t>
      </w:r>
      <w:r>
        <w:rPr>
          <w:rStyle w:val="CharStyle14"/>
          <w:lang w:val="en-US" w:eastAsia="en-US"/>
        </w:rPr>
        <w:t xml:space="preserve">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4"/>
          <w:lang w:val="en-US" w:eastAsia="en-US"/>
        </w:rPr>
        <w:t xml:space="preserve">6 </w:t>
      </w:r>
      <w:r>
        <w:rPr>
          <w:rStyle w:val="CharStyle14"/>
        </w:rPr>
        <w:t xml:space="preserve">статьи </w:t>
      </w:r>
      <w:r>
        <w:rPr>
          <w:rStyle w:val="CharStyle14"/>
          <w:lang w:val="en-US" w:eastAsia="en-US"/>
        </w:rPr>
        <w:t xml:space="preserve">23 </w:t>
      </w:r>
      <w:r>
        <w:rPr>
          <w:rStyle w:val="CharStyle14"/>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13 </w:t>
      </w:r>
      <w:r>
        <w:rPr>
          <w:rStyle w:val="CharStyle14"/>
        </w:rPr>
        <w:t xml:space="preserve">Федерального закона от </w:t>
      </w:r>
      <w:r>
        <w:rPr>
          <w:rStyle w:val="CharStyle14"/>
          <w:lang w:val="en-US" w:eastAsia="en-US"/>
        </w:rPr>
        <w:t xml:space="preserve">13.07.2010 </w:t>
      </w:r>
      <w:r>
        <w:rPr>
          <w:rStyle w:val="CharStyle14"/>
        </w:rPr>
        <w:t xml:space="preserve">г. </w:t>
      </w:r>
      <w:r>
        <w:rPr>
          <w:rStyle w:val="CharStyle14"/>
          <w:lang w:val="en-US" w:eastAsia="en-US"/>
        </w:rPr>
        <w:t xml:space="preserve">№ </w:t>
      </w:r>
      <w:r>
        <w:rPr>
          <w:rStyle w:val="CharStyle14"/>
        </w:rPr>
        <w:t xml:space="preserve">61-ФЗ "Об обращении лекарственных средств" (далее </w:t>
      </w:r>
      <w:r>
        <w:rPr>
          <w:rStyle w:val="CharStyle14"/>
          <w:lang w:val="en-US" w:eastAsia="en-US"/>
        </w:rPr>
        <w:t xml:space="preserve">- </w:t>
      </w:r>
      <w:r>
        <w:rPr>
          <w:rStyle w:val="CharStyle14"/>
        </w:rPr>
        <w:t>Закон об обращении лекарственных средств) в Российской Федерации допускаются производство, хранение, перевозка, ввоз в Российскую Федерацию, вывоз из Российской Федерации, реклама, отпуск, реализация, передача, применение лекарственных препаратов, если они зарегистрированы уполномоченным федеральным органом исполнительной власти в соответствии с Законом об обращении лекарственных средств либо в соответствии с актами, составляющими право Союза.</w:t>
      </w:r>
    </w:p>
    <w:p>
      <w:pPr>
        <w:pStyle w:val="Style13"/>
        <w:keepNext w:val="0"/>
        <w:keepLines w:val="0"/>
        <w:widowControl w:val="0"/>
        <w:shd w:val="clear" w:color="auto" w:fill="auto"/>
        <w:bidi w:val="0"/>
        <w:spacing w:before="0" w:after="0" w:line="259" w:lineRule="auto"/>
        <w:ind w:left="0" w:right="0" w:firstLine="720"/>
        <w:jc w:val="both"/>
        <w:rPr>
          <w:sz w:val="24"/>
          <w:szCs w:val="24"/>
        </w:rPr>
      </w:pPr>
      <w:r>
        <w:rPr>
          <w:rStyle w:val="CharStyle14"/>
        </w:rPr>
        <w:t xml:space="preserve">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29 </w:t>
      </w:r>
      <w:r>
        <w:rPr>
          <w:rStyle w:val="CharStyle14"/>
        </w:rPr>
        <w:t xml:space="preserve">Закона об обращении лекарственных средств подтверждение государственной регистрации лекарственного препарата осуществляется при выдаче бессрочного регистрационного удостоверения лекарственного препарата в случае, указанном в части </w:t>
      </w:r>
      <w:r>
        <w:rPr>
          <w:rStyle w:val="CharStyle14"/>
          <w:lang w:val="en-US" w:eastAsia="en-US"/>
        </w:rPr>
        <w:t xml:space="preserve">2 </w:t>
      </w:r>
      <w:r>
        <w:rPr>
          <w:rStyle w:val="CharStyle14"/>
        </w:rPr>
        <w:t xml:space="preserve">статьи </w:t>
      </w:r>
      <w:r>
        <w:rPr>
          <w:rStyle w:val="CharStyle14"/>
          <w:lang w:val="en-US" w:eastAsia="en-US"/>
        </w:rPr>
        <w:t xml:space="preserve">28 </w:t>
      </w:r>
      <w:r>
        <w:rPr>
          <w:rStyle w:val="CharStyle14"/>
        </w:rPr>
        <w:t xml:space="preserve">Закона об обращении лекарственных средств, в срок, не превышающий сорока рабочих дней со дня направления посредством единого портала в уполномоченный федеральный орган исполнительной власти или личный кабинет уполномоченного федерального органа исполнительной власти в единой системе заявления о подтверждении государственной регистрации лекарственного препарата, подписанного усиленной квалифицированной электронной подписью. Не осуществляется подтверждение государственной регистрации в отношении лекарственного препарата для ветеринарного применения, не находившегося в обращении в Российской Федерации в течение трех и </w:t>
      </w:r>
      <w:r>
        <w:rPr>
          <w:rStyle w:val="CharStyle14"/>
          <w:sz w:val="24"/>
          <w:szCs w:val="24"/>
          <w:lang w:val="en-US" w:eastAsia="en-US"/>
        </w:rPr>
        <w:t>2026-3412</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более лет, а также в отношении лекарственного средства, произведенного с нарушением требования, установленного частью </w:t>
      </w:r>
      <w:r>
        <w:rPr>
          <w:rStyle w:val="CharStyle14"/>
          <w:lang w:val="en-US" w:eastAsia="en-US"/>
        </w:rPr>
        <w:t xml:space="preserve">3.7 </w:t>
      </w:r>
      <w:r>
        <w:rPr>
          <w:rStyle w:val="CharStyle14"/>
        </w:rPr>
        <w:t xml:space="preserve">статьей </w:t>
      </w:r>
      <w:r>
        <w:rPr>
          <w:rStyle w:val="CharStyle14"/>
          <w:lang w:val="en-US" w:eastAsia="en-US"/>
        </w:rPr>
        <w:t xml:space="preserve">71 </w:t>
      </w:r>
      <w:r>
        <w:rPr>
          <w:rStyle w:val="CharStyle14"/>
        </w:rPr>
        <w:t>Закона об обращении лекарственных средств.</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П.1 Приказа Министерства здравоохранения РФ от </w:t>
      </w:r>
      <w:r>
        <w:rPr>
          <w:rStyle w:val="CharStyle14"/>
          <w:lang w:val="en-US" w:eastAsia="en-US"/>
        </w:rPr>
        <w:t xml:space="preserve">9 </w:t>
      </w:r>
      <w:r>
        <w:rPr>
          <w:rStyle w:val="CharStyle14"/>
        </w:rPr>
        <w:t xml:space="preserve">февраля </w:t>
      </w:r>
      <w:r>
        <w:rPr>
          <w:rStyle w:val="CharStyle14"/>
          <w:lang w:val="en-US" w:eastAsia="en-US"/>
        </w:rPr>
        <w:t xml:space="preserve">2016 </w:t>
      </w:r>
      <w:r>
        <w:rPr>
          <w:rStyle w:val="CharStyle14"/>
        </w:rPr>
        <w:t xml:space="preserve">г. </w:t>
      </w:r>
      <w:r>
        <w:rPr>
          <w:rStyle w:val="CharStyle14"/>
          <w:lang w:val="en-US" w:eastAsia="en-US"/>
        </w:rPr>
        <w:t xml:space="preserve">N </w:t>
      </w:r>
      <w:r>
        <w:rPr>
          <w:rStyle w:val="CharStyle14"/>
        </w:rPr>
        <w:t xml:space="preserve">80н "Об утверждении порядка ведения государственного реестра лекарственных средств для медицинского применения" утвержден Порядок ведения государственного реестра лекарственных средств для медицинского применения (далее </w:t>
      </w:r>
      <w:r>
        <w:rPr>
          <w:rStyle w:val="CharStyle14"/>
          <w:lang w:val="en-US" w:eastAsia="en-US"/>
        </w:rPr>
        <w:t xml:space="preserve">- </w:t>
      </w:r>
      <w:r>
        <w:rPr>
          <w:rStyle w:val="CharStyle14"/>
        </w:rPr>
        <w:t>Порядок ведения ГРЛС).</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 </w:t>
      </w:r>
      <w:r>
        <w:rPr>
          <w:rStyle w:val="CharStyle14"/>
          <w:lang w:val="en-US" w:eastAsia="en-US"/>
        </w:rPr>
        <w:t xml:space="preserve">2 </w:t>
      </w:r>
      <w:r>
        <w:rPr>
          <w:rStyle w:val="CharStyle14"/>
        </w:rPr>
        <w:t xml:space="preserve">Порядка ведения ГРЛС Государственный реестр лекарственных средств для медицинского применения (далее </w:t>
      </w:r>
      <w:r>
        <w:rPr>
          <w:rStyle w:val="CharStyle14"/>
          <w:lang w:val="en-US" w:eastAsia="en-US"/>
        </w:rPr>
        <w:t xml:space="preserve">- </w:t>
      </w:r>
      <w:r>
        <w:rPr>
          <w:rStyle w:val="CharStyle14"/>
        </w:rPr>
        <w:t>Реестр) является федеральной информационной системой, содержащей сведения о лекарственных препаратах для медицинского применения, прошедших государственную регистрацию, фармацевтических субстанциях, входящих в состав лекарственных препаратов для медицинского применения, и фармацевтических субстанциях, произведенных для реализации.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Вместе с этим, согласно пункту </w:t>
      </w:r>
      <w:r>
        <w:rPr>
          <w:rStyle w:val="CharStyle14"/>
          <w:lang w:val="en-US" w:eastAsia="en-US"/>
        </w:rPr>
        <w:t xml:space="preserve">3 </w:t>
      </w:r>
      <w:r>
        <w:rPr>
          <w:rStyle w:val="CharStyle14"/>
        </w:rPr>
        <w:t xml:space="preserve">Правил представления документов и сведений о лекарственных препаратах для медицинского применения, вводимых в гражданский оборот (далее </w:t>
      </w:r>
      <w:r>
        <w:rPr>
          <w:rStyle w:val="CharStyle14"/>
          <w:lang w:val="en-US" w:eastAsia="en-US"/>
        </w:rPr>
        <w:t xml:space="preserve">- </w:t>
      </w:r>
      <w:r>
        <w:rPr>
          <w:rStyle w:val="CharStyle14"/>
        </w:rPr>
        <w:t xml:space="preserve">Правила введения в гражданский оборот лекарственных препаратов), утвержденных Постановлением Правительства РФ от </w:t>
      </w:r>
      <w:r>
        <w:rPr>
          <w:rStyle w:val="CharStyle14"/>
          <w:lang w:val="en-US" w:eastAsia="en-US"/>
        </w:rPr>
        <w:t xml:space="preserve">26.11.2019 № 1510 </w:t>
      </w:r>
      <w:r>
        <w:rPr>
          <w:rStyle w:val="CharStyle14"/>
        </w:rPr>
        <w:t>"О порядке ввода в гражданский оборот лекарственных препаратов для медицинского применения", производитель перед вводом в гражданский оборот серии или партии лекарственного препарата представляет в автоматизированную информационную систему Федеральной службы по надзору в сфере здравоохранения сведения через личный кабинет.</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 этом пунктом </w:t>
      </w:r>
      <w:r>
        <w:rPr>
          <w:rStyle w:val="CharStyle14"/>
          <w:lang w:val="en-US" w:eastAsia="en-US"/>
        </w:rPr>
        <w:t xml:space="preserve">5 </w:t>
      </w:r>
      <w:r>
        <w:rPr>
          <w:rStyle w:val="CharStyle14"/>
        </w:rPr>
        <w:t xml:space="preserve">Правил введения в гражданский оборот лекарственных препаратов в течение </w:t>
      </w:r>
      <w:r>
        <w:rPr>
          <w:rStyle w:val="CharStyle14"/>
          <w:lang w:val="en-US" w:eastAsia="en-US"/>
        </w:rPr>
        <w:t xml:space="preserve">3 </w:t>
      </w:r>
      <w:r>
        <w:rPr>
          <w:rStyle w:val="CharStyle14"/>
        </w:rPr>
        <w:t xml:space="preserve">рабочих дней со дня поступления в автоматизированную информационную систему Федеральной службы по надзору в сфере здравоохранения документов и сведений, указанных в пунктах </w:t>
      </w:r>
      <w:r>
        <w:rPr>
          <w:rStyle w:val="CharStyle14"/>
          <w:lang w:val="en-US" w:eastAsia="en-US"/>
        </w:rPr>
        <w:t xml:space="preserve">3 </w:t>
      </w:r>
      <w:r>
        <w:rPr>
          <w:rStyle w:val="CharStyle14"/>
        </w:rPr>
        <w:t xml:space="preserve">и </w:t>
      </w:r>
      <w:r>
        <w:rPr>
          <w:rStyle w:val="CharStyle14"/>
          <w:lang w:val="en-US" w:eastAsia="en-US"/>
        </w:rPr>
        <w:t xml:space="preserve">4 </w:t>
      </w:r>
      <w:r>
        <w:rPr>
          <w:rStyle w:val="CharStyle14"/>
        </w:rPr>
        <w:t>Правил введения в гражданский оборот лекарственных препаратов, Федеральная служба по надзору в сфере здравоохранения размещает на своем официальном сайте в информационно-телекоммуникационной сети "Интернет" с соблюдением требований законодательства Российской Федерации о коммерческой и иной охраняемой законом тайне сведения о сериях или партиях лекарственных препаратов, вводимых в гражданский оборот.</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Согласно извещению о проведении Аукциона предметом закупки является поставка лекарственного препарата НАТРИЯ ХЛОРИД.</w:t>
      </w:r>
    </w:p>
    <w:p>
      <w:pPr>
        <w:pStyle w:val="Style13"/>
        <w:keepNext w:val="0"/>
        <w:keepLines w:val="0"/>
        <w:widowControl w:val="0"/>
        <w:shd w:val="clear" w:color="auto" w:fill="auto"/>
        <w:bidi w:val="0"/>
        <w:spacing w:before="0" w:after="0" w:line="240" w:lineRule="auto"/>
        <w:ind w:left="0" w:right="0" w:firstLine="720"/>
        <w:jc w:val="both"/>
      </w:pPr>
      <w:r>
        <w:rPr>
          <w:rStyle w:val="CharStyle14"/>
        </w:rPr>
        <w:t>Комиссией Управления установлено, что, согласно извещению о проведении Аукциона, Заказчиком закупаются следующие препараты:</w:t>
      </w:r>
    </w:p>
    <w:p>
      <w:pPr>
        <w:pStyle w:val="Style13"/>
        <w:keepNext w:val="0"/>
        <w:keepLines w:val="0"/>
        <w:widowControl w:val="0"/>
        <w:numPr>
          <w:ilvl w:val="0"/>
          <w:numId w:val="1"/>
        </w:numPr>
        <w:shd w:val="clear" w:color="auto" w:fill="auto"/>
        <w:tabs>
          <w:tab w:pos="1056" w:val="left"/>
        </w:tabs>
        <w:bidi w:val="0"/>
        <w:spacing w:before="0" w:after="0" w:line="240" w:lineRule="auto"/>
        <w:ind w:left="0" w:right="0" w:firstLine="720"/>
        <w:jc w:val="both"/>
      </w:pPr>
      <w:r>
        <w:rPr>
          <w:rStyle w:val="CharStyle14"/>
        </w:rPr>
        <w:t xml:space="preserve">по позиции </w:t>
      </w:r>
      <w:r>
        <w:rPr>
          <w:rStyle w:val="CharStyle14"/>
          <w:lang w:val="en-US" w:eastAsia="en-US"/>
        </w:rPr>
        <w:t xml:space="preserve">1 </w:t>
      </w:r>
      <w:r>
        <w:rPr>
          <w:rStyle w:val="CharStyle14"/>
        </w:rPr>
        <w:t xml:space="preserve">«НАТРИЯ ХЛОРИД»: «МНН или торговое наименование лекарственного препарата: НАТРИЯ ХЛОРИД», «Дозировка: </w:t>
      </w:r>
      <w:r>
        <w:rPr>
          <w:rStyle w:val="CharStyle14"/>
          <w:lang w:val="en-US" w:eastAsia="en-US"/>
        </w:rPr>
        <w:t xml:space="preserve">9 </w:t>
      </w:r>
      <w:r>
        <w:rPr>
          <w:rStyle w:val="CharStyle14"/>
        </w:rPr>
        <w:t>мг/мл»,</w:t>
      </w:r>
    </w:p>
    <w:p>
      <w:pPr>
        <w:pStyle w:val="Style13"/>
        <w:keepNext w:val="0"/>
        <w:keepLines w:val="0"/>
        <w:widowControl w:val="0"/>
        <w:numPr>
          <w:ilvl w:val="0"/>
          <w:numId w:val="1"/>
        </w:numPr>
        <w:shd w:val="clear" w:color="auto" w:fill="auto"/>
        <w:tabs>
          <w:tab w:pos="1056" w:val="left"/>
        </w:tabs>
        <w:bidi w:val="0"/>
        <w:spacing w:before="0" w:after="0" w:line="240" w:lineRule="auto"/>
        <w:ind w:left="0" w:right="0" w:firstLine="720"/>
        <w:jc w:val="both"/>
      </w:pPr>
      <w:r>
        <w:rPr>
          <w:rStyle w:val="CharStyle14"/>
        </w:rPr>
        <w:t xml:space="preserve">по позиции </w:t>
      </w:r>
      <w:r>
        <w:rPr>
          <w:rStyle w:val="CharStyle14"/>
          <w:lang w:val="en-US" w:eastAsia="en-US"/>
        </w:rPr>
        <w:t xml:space="preserve">2 </w:t>
      </w:r>
      <w:r>
        <w:rPr>
          <w:rStyle w:val="CharStyle14"/>
        </w:rPr>
        <w:t xml:space="preserve">«НАТРИЯ ХЛОРИД»: «МНН или торговое наименование лекарственного препарата: «НАТРИЯ ХЛОРИД», «Дозировка: </w:t>
      </w:r>
      <w:r>
        <w:rPr>
          <w:rStyle w:val="CharStyle14"/>
          <w:lang w:val="en-US" w:eastAsia="en-US"/>
        </w:rPr>
        <w:t xml:space="preserve">9 </w:t>
      </w:r>
      <w:r>
        <w:rPr>
          <w:rStyle w:val="CharStyle14"/>
        </w:rPr>
        <w:t>мг/мл»,</w:t>
      </w:r>
    </w:p>
    <w:p>
      <w:pPr>
        <w:pStyle w:val="Style13"/>
        <w:keepNext w:val="0"/>
        <w:keepLines w:val="0"/>
        <w:widowControl w:val="0"/>
        <w:numPr>
          <w:ilvl w:val="0"/>
          <w:numId w:val="1"/>
        </w:numPr>
        <w:shd w:val="clear" w:color="auto" w:fill="auto"/>
        <w:tabs>
          <w:tab w:pos="1056" w:val="left"/>
        </w:tabs>
        <w:bidi w:val="0"/>
        <w:spacing w:before="0" w:after="0" w:line="240" w:lineRule="auto"/>
        <w:ind w:left="0" w:right="0" w:firstLine="720"/>
        <w:jc w:val="both"/>
      </w:pPr>
      <w:r>
        <w:rPr>
          <w:rStyle w:val="CharStyle14"/>
        </w:rPr>
        <w:t xml:space="preserve">по позиции </w:t>
      </w:r>
      <w:r>
        <w:rPr>
          <w:rStyle w:val="CharStyle14"/>
          <w:lang w:val="en-US" w:eastAsia="en-US"/>
        </w:rPr>
        <w:t xml:space="preserve">3 </w:t>
      </w:r>
      <w:r>
        <w:rPr>
          <w:rStyle w:val="CharStyle14"/>
        </w:rPr>
        <w:t xml:space="preserve">«НАТРИЯ ХЛОРИД»: «МНН или торговое наименование лекарственного препарата: НАТРИЯ ХЛОРИД», «Дозировка: </w:t>
      </w:r>
      <w:r>
        <w:rPr>
          <w:rStyle w:val="CharStyle14"/>
          <w:lang w:val="en-US" w:eastAsia="en-US"/>
        </w:rPr>
        <w:t xml:space="preserve">9 </w:t>
      </w:r>
      <w:r>
        <w:rPr>
          <w:rStyle w:val="CharStyle14"/>
        </w:rPr>
        <w:t>мг/мл»,</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Согласно описанию объекта закупки заказчику требуются:</w:t>
      </w:r>
    </w:p>
    <w:p>
      <w:pPr>
        <w:pStyle w:val="Style13"/>
        <w:keepNext w:val="0"/>
        <w:keepLines w:val="0"/>
        <w:widowControl w:val="0"/>
        <w:numPr>
          <w:ilvl w:val="0"/>
          <w:numId w:val="1"/>
        </w:numPr>
        <w:shd w:val="clear" w:color="auto" w:fill="auto"/>
        <w:tabs>
          <w:tab w:pos="1776" w:val="left"/>
        </w:tabs>
        <w:bidi w:val="0"/>
        <w:spacing w:before="0" w:after="0" w:line="240" w:lineRule="auto"/>
        <w:ind w:left="0" w:right="0" w:firstLine="720"/>
        <w:jc w:val="both"/>
      </w:pPr>
      <w:r>
        <w:rPr>
          <w:rStyle w:val="CharStyle14"/>
        </w:rPr>
        <w:t xml:space="preserve">НАТРИЯ ХЛОРИД» Объем ампулы/флакон </w:t>
      </w:r>
      <w:r>
        <w:rPr>
          <w:rStyle w:val="CharStyle14"/>
          <w:lang w:val="en-US" w:eastAsia="en-US"/>
        </w:rPr>
        <w:t xml:space="preserve">250 </w:t>
      </w:r>
      <w:r>
        <w:rPr>
          <w:rStyle w:val="CharStyle14"/>
        </w:rPr>
        <w:t>мл;</w:t>
      </w:r>
    </w:p>
    <w:p>
      <w:pPr>
        <w:pStyle w:val="Style13"/>
        <w:keepNext w:val="0"/>
        <w:keepLines w:val="0"/>
        <w:widowControl w:val="0"/>
        <w:numPr>
          <w:ilvl w:val="0"/>
          <w:numId w:val="1"/>
        </w:numPr>
        <w:shd w:val="clear" w:color="auto" w:fill="auto"/>
        <w:tabs>
          <w:tab w:pos="1776" w:val="left"/>
        </w:tabs>
        <w:bidi w:val="0"/>
        <w:spacing w:before="0" w:after="0" w:line="240" w:lineRule="auto"/>
        <w:ind w:left="0" w:right="0" w:firstLine="720"/>
        <w:jc w:val="both"/>
      </w:pPr>
      <w:r>
        <w:rPr>
          <w:rStyle w:val="CharStyle14"/>
        </w:rPr>
        <w:t xml:space="preserve">НАТРИЯ ХЛОРИД» Объем ампулы/флакон </w:t>
      </w:r>
      <w:r>
        <w:rPr>
          <w:rStyle w:val="CharStyle14"/>
          <w:lang w:val="en-US" w:eastAsia="en-US"/>
        </w:rPr>
        <w:t xml:space="preserve">350 </w:t>
      </w:r>
      <w:r>
        <w:rPr>
          <w:rStyle w:val="CharStyle14"/>
        </w:rPr>
        <w:t>мл;</w:t>
      </w:r>
    </w:p>
    <w:p>
      <w:pPr>
        <w:pStyle w:val="Style13"/>
        <w:keepNext w:val="0"/>
        <w:keepLines w:val="0"/>
        <w:widowControl w:val="0"/>
        <w:numPr>
          <w:ilvl w:val="0"/>
          <w:numId w:val="1"/>
        </w:numPr>
        <w:shd w:val="clear" w:color="auto" w:fill="auto"/>
        <w:tabs>
          <w:tab w:pos="1776" w:val="left"/>
        </w:tabs>
        <w:bidi w:val="0"/>
        <w:spacing w:before="0" w:after="0" w:line="240" w:lineRule="auto"/>
        <w:ind w:left="0" w:right="0" w:firstLine="720"/>
        <w:jc w:val="both"/>
      </w:pPr>
      <w:r>
        <w:rPr>
          <w:rStyle w:val="CharStyle14"/>
        </w:rPr>
        <w:t xml:space="preserve">НАТРИЯ ХЛОРИД» Объем ампулы/флакон </w:t>
      </w:r>
      <w:r>
        <w:rPr>
          <w:rStyle w:val="CharStyle14"/>
          <w:lang w:val="en-US" w:eastAsia="en-US"/>
        </w:rPr>
        <w:t xml:space="preserve">500 </w:t>
      </w:r>
      <w:r>
        <w:rPr>
          <w:rStyle w:val="CharStyle14"/>
        </w:rPr>
        <w:t>мл.</w:t>
      </w:r>
    </w:p>
    <w:p>
      <w:pPr>
        <w:pStyle w:val="Style13"/>
        <w:keepNext w:val="0"/>
        <w:keepLines w:val="0"/>
        <w:widowControl w:val="0"/>
        <w:shd w:val="clear" w:color="auto" w:fill="auto"/>
        <w:bidi w:val="0"/>
        <w:spacing w:before="0" w:after="0" w:line="346" w:lineRule="auto"/>
        <w:ind w:left="0" w:right="0" w:firstLine="720"/>
        <w:jc w:val="both"/>
        <w:rPr>
          <w:sz w:val="24"/>
          <w:szCs w:val="24"/>
        </w:rPr>
        <w:sectPr>
          <w:headerReference w:type="default" r:id="rId13"/>
          <w:footerReference w:type="default" r:id="rId14"/>
          <w:footnotePr>
            <w:pos w:val="pageBottom"/>
            <w:numFmt w:val="decimal"/>
            <w:numRestart w:val="continuous"/>
          </w:footnotePr>
          <w:pgSz w:w="11900" w:h="16840"/>
          <w:pgMar w:top="1666" w:right="544" w:bottom="716" w:left="1104" w:header="0" w:footer="288" w:gutter="0"/>
          <w:cols w:space="720"/>
          <w:noEndnote/>
          <w:rtlGutter w:val="0"/>
          <w:docGrid w:linePitch="360"/>
        </w:sectPr>
      </w:pPr>
      <w:r>
        <w:rPr>
          <w:rStyle w:val="CharStyle14"/>
        </w:rPr>
        <w:t xml:space="preserve">На заседании Комиссии представитель заказчика пояснил, что были проанализированы совокупно сведения из разных источников: Государственный реестр </w:t>
      </w:r>
      <w:r>
        <w:rPr>
          <w:rStyle w:val="CharStyle14"/>
          <w:sz w:val="24"/>
          <w:szCs w:val="24"/>
          <w:lang w:val="en-US" w:eastAsia="en-US"/>
        </w:rPr>
        <w:t>2026-3412</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лекарственных средств (ГРЛС) и Государственный реестр предельных отпускных цен, согласно которым производителями были обновлены предельные отпускные цены в период с августа по декабрь </w:t>
      </w:r>
      <w:r>
        <w:rPr>
          <w:rStyle w:val="CharStyle14"/>
          <w:lang w:val="en-US" w:eastAsia="en-US"/>
        </w:rPr>
        <w:t xml:space="preserve">2025 </w:t>
      </w:r>
      <w:r>
        <w:rPr>
          <w:rStyle w:val="CharStyle14"/>
        </w:rPr>
        <w:t xml:space="preserve">года и зарегистрированы штрих-коды для ЛП Натрия хлорид </w:t>
      </w:r>
      <w:r>
        <w:rPr>
          <w:rStyle w:val="CharStyle14"/>
          <w:lang w:val="en-US" w:eastAsia="en-US"/>
        </w:rPr>
        <w:t xml:space="preserve">350 </w:t>
      </w:r>
      <w:r>
        <w:rPr>
          <w:rStyle w:val="CharStyle14"/>
        </w:rPr>
        <w:t xml:space="preserve">мл с </w:t>
      </w:r>
      <w:r>
        <w:rPr>
          <w:rStyle w:val="CharStyle14"/>
          <w:lang w:val="en-US" w:eastAsia="en-US"/>
        </w:rPr>
        <w:t xml:space="preserve">2 </w:t>
      </w:r>
      <w:r>
        <w:rPr>
          <w:rStyle w:val="CharStyle14"/>
        </w:rPr>
        <w:t xml:space="preserve">портами: </w:t>
      </w:r>
      <w:r>
        <w:rPr>
          <w:rStyle w:val="CharStyle14"/>
          <w:lang w:val="en-US" w:eastAsia="en-US"/>
        </w:rPr>
        <w:t xml:space="preserve">ЛП-№(003198)-(РГ-RU) </w:t>
      </w:r>
      <w:r>
        <w:rPr>
          <w:rStyle w:val="CharStyle14"/>
        </w:rPr>
        <w:t xml:space="preserve">ООО ХФК «МИР» </w:t>
      </w:r>
      <w:r>
        <w:rPr>
          <w:rStyle w:val="CharStyle14"/>
          <w:lang w:val="en-US" w:eastAsia="en-US"/>
        </w:rPr>
        <w:t xml:space="preserve">20.08.2025 </w:t>
      </w:r>
      <w:r>
        <w:rPr>
          <w:rStyle w:val="CharStyle14"/>
        </w:rPr>
        <w:t xml:space="preserve">ЛП-№(009703)-(РГ- </w:t>
      </w:r>
      <w:r>
        <w:rPr>
          <w:rStyle w:val="CharStyle14"/>
          <w:lang w:val="en-US" w:eastAsia="en-US"/>
        </w:rPr>
        <w:t xml:space="preserve">RU) </w:t>
      </w:r>
      <w:r>
        <w:rPr>
          <w:rStyle w:val="CharStyle14"/>
        </w:rPr>
        <w:t xml:space="preserve">ООО «Гематек» </w:t>
      </w:r>
      <w:r>
        <w:rPr>
          <w:rStyle w:val="CharStyle14"/>
          <w:lang w:val="en-US" w:eastAsia="en-US"/>
        </w:rPr>
        <w:t xml:space="preserve">25.08.2025 ЛП-№(002824)-(РГ-RU) </w:t>
      </w:r>
      <w:r>
        <w:rPr>
          <w:rStyle w:val="CharStyle14"/>
        </w:rPr>
        <w:t xml:space="preserve">ООО ХФК «Медполимер» </w:t>
      </w:r>
      <w:r>
        <w:rPr>
          <w:rStyle w:val="CharStyle14"/>
          <w:lang w:val="en-US" w:eastAsia="en-US"/>
        </w:rPr>
        <w:t xml:space="preserve">12.12.2025 </w:t>
      </w:r>
      <w:r>
        <w:rPr>
          <w:rStyle w:val="CharStyle14"/>
        </w:rPr>
        <w:t xml:space="preserve">Кроме того, заказчик просил учесть, что был осуществлен запрос ценовой информации и получены </w:t>
      </w:r>
      <w:r>
        <w:rPr>
          <w:rStyle w:val="CharStyle14"/>
          <w:lang w:val="en-US" w:eastAsia="en-US"/>
        </w:rPr>
        <w:t xml:space="preserve">3 </w:t>
      </w:r>
      <w:r>
        <w:rPr>
          <w:rStyle w:val="CharStyle14"/>
        </w:rPr>
        <w:t>коммерческих предложения с информацией о возможности поставки.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Вместе с тем, Комиссия установила, что согласно сведениям размещенным на официальном сайте Федеральной службы по надзору в сфере здравоохранения, лекарственный препарат с МНН «Натрия хлорид» в объеме наполнения </w:t>
      </w:r>
      <w:r>
        <w:rPr>
          <w:rStyle w:val="CharStyle14"/>
          <w:lang w:val="en-US" w:eastAsia="en-US"/>
        </w:rPr>
        <w:t xml:space="preserve">350 </w:t>
      </w:r>
      <w:r>
        <w:rPr>
          <w:rStyle w:val="CharStyle14"/>
        </w:rPr>
        <w:t>мл., не введен в гражданский оборот.</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Также представитель заказчика представил письмо от организации ООО «Гематек» исх. </w:t>
      </w:r>
      <w:r>
        <w:rPr>
          <w:rStyle w:val="CharStyle14"/>
          <w:lang w:val="en-US" w:eastAsia="en-US"/>
        </w:rPr>
        <w:t xml:space="preserve">№ 207/26 </w:t>
      </w:r>
      <w:r>
        <w:rPr>
          <w:rStyle w:val="CharStyle14"/>
        </w:rPr>
        <w:t xml:space="preserve">ГМТ от </w:t>
      </w:r>
      <w:r>
        <w:rPr>
          <w:rStyle w:val="CharStyle14"/>
          <w:lang w:val="en-US" w:eastAsia="en-US"/>
        </w:rPr>
        <w:t xml:space="preserve">14.05.2026 </w:t>
      </w:r>
      <w:r>
        <w:rPr>
          <w:rStyle w:val="CharStyle14"/>
        </w:rPr>
        <w:t xml:space="preserve">подтверждающее тот факт, что лекарственный препарат МНН «Натрия хлорид» в объеме наполнения </w:t>
      </w:r>
      <w:r>
        <w:rPr>
          <w:rStyle w:val="CharStyle14"/>
          <w:lang w:val="en-US" w:eastAsia="en-US"/>
        </w:rPr>
        <w:t xml:space="preserve">350 </w:t>
      </w:r>
      <w:r>
        <w:rPr>
          <w:rStyle w:val="CharStyle14"/>
        </w:rPr>
        <w:t xml:space="preserve">мл., не введен в гражданский оборот, но производителем была указана возможность производства препарата Натрия хлорид объеме наполнения </w:t>
      </w:r>
      <w:r>
        <w:rPr>
          <w:rStyle w:val="CharStyle14"/>
          <w:lang w:val="en-US" w:eastAsia="en-US"/>
        </w:rPr>
        <w:t xml:space="preserve">350 </w:t>
      </w:r>
      <w:r>
        <w:rPr>
          <w:rStyle w:val="CharStyle14"/>
        </w:rPr>
        <w:t xml:space="preserve">мл. и </w:t>
      </w:r>
      <w:r>
        <w:rPr>
          <w:rStyle w:val="CharStyle14"/>
          <w:lang w:val="en-US" w:eastAsia="en-US"/>
        </w:rPr>
        <w:t xml:space="preserve">400 </w:t>
      </w:r>
      <w:r>
        <w:rPr>
          <w:rStyle w:val="CharStyle14"/>
        </w:rPr>
        <w:t>мл. Таким образом, информация о фактической готовности производства товара имеется только по одному производителю.</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настоящем случае, в извещении о проведении закупки указан, в том числе товар, информация о возможности введения в гражданский оборот о котором имеется только по одному производителю, что является нарушением ч. </w:t>
      </w:r>
      <w:r>
        <w:rPr>
          <w:rStyle w:val="CharStyle14"/>
          <w:lang w:val="en-US" w:eastAsia="en-US"/>
        </w:rPr>
        <w:t xml:space="preserve">2 </w:t>
      </w:r>
      <w:r>
        <w:rPr>
          <w:rStyle w:val="CharStyle14"/>
        </w:rPr>
        <w:t xml:space="preserve">ст. </w:t>
      </w:r>
      <w:r>
        <w:rPr>
          <w:rStyle w:val="CharStyle14"/>
          <w:lang w:val="en-US" w:eastAsia="en-US"/>
        </w:rPr>
        <w:t xml:space="preserve">8, </w:t>
      </w:r>
      <w:r>
        <w:rPr>
          <w:rStyle w:val="CharStyle14"/>
        </w:rPr>
        <w:t xml:space="preserve">п. </w:t>
      </w:r>
      <w:r>
        <w:rPr>
          <w:rStyle w:val="CharStyle14"/>
          <w:lang w:val="en-US" w:eastAsia="en-US"/>
        </w:rPr>
        <w:t xml:space="preserve">1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33, </w:t>
      </w:r>
      <w:r>
        <w:rPr>
          <w:rStyle w:val="CharStyle14"/>
        </w:rPr>
        <w:t xml:space="preserve">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Следовательно, довод жалобы нашел свое подтверждение и является обоснованным.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 этом, общий объем лекарственного препарата Натрия хлорид в объеме наполнения первичной упаковки </w:t>
      </w:r>
      <w:r>
        <w:rPr>
          <w:rStyle w:val="CharStyle14"/>
          <w:lang w:val="en-US" w:eastAsia="en-US"/>
        </w:rPr>
        <w:t xml:space="preserve">350 </w:t>
      </w:r>
      <w:r>
        <w:rPr>
          <w:rStyle w:val="CharStyle14"/>
        </w:rPr>
        <w:t xml:space="preserve">мл. по данной закупке составляет </w:t>
      </w:r>
      <w:r>
        <w:rPr>
          <w:rStyle w:val="CharStyle14"/>
          <w:lang w:val="en-US" w:eastAsia="en-US"/>
        </w:rPr>
        <w:t xml:space="preserve">0,63% </w:t>
      </w:r>
      <w:r>
        <w:rPr>
          <w:rStyle w:val="CharStyle14"/>
        </w:rPr>
        <w:t>от общего объема поставки, что в совокупности может привести к ограничению количества участников закупки.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На основании изложенного, Заказчик признается нарушившим ч. </w:t>
      </w:r>
      <w:r>
        <w:rPr>
          <w:rStyle w:val="CharStyle14"/>
          <w:lang w:val="en-US" w:eastAsia="en-US"/>
        </w:rPr>
        <w:t xml:space="preserve">2 </w:t>
      </w:r>
      <w:r>
        <w:rPr>
          <w:rStyle w:val="CharStyle14"/>
        </w:rPr>
        <w:t xml:space="preserve">ст. </w:t>
      </w:r>
      <w:r>
        <w:rPr>
          <w:rStyle w:val="CharStyle14"/>
          <w:lang w:val="en-US" w:eastAsia="en-US"/>
        </w:rPr>
        <w:t xml:space="preserve">8, </w:t>
      </w:r>
      <w:r>
        <w:rPr>
          <w:rStyle w:val="CharStyle14"/>
        </w:rPr>
        <w:t xml:space="preserve">п. </w:t>
      </w:r>
      <w:r>
        <w:rPr>
          <w:rStyle w:val="CharStyle14"/>
          <w:lang w:val="en-US" w:eastAsia="en-US"/>
        </w:rPr>
        <w:t xml:space="preserve">1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С учетом выявленного нарушения Комиссией принято решение о выдаче обязательного для исполнения предписания об устранении выявленных нарушений.</w:t>
      </w:r>
    </w:p>
    <w:p>
      <w:pPr>
        <w:pStyle w:val="Style13"/>
        <w:keepNext w:val="0"/>
        <w:keepLines w:val="0"/>
        <w:widowControl w:val="0"/>
        <w:shd w:val="clear" w:color="auto" w:fill="auto"/>
        <w:bidi w:val="0"/>
        <w:spacing w:before="0" w:after="260" w:line="240" w:lineRule="auto"/>
        <w:ind w:left="0" w:right="0" w:firstLine="720"/>
        <w:jc w:val="both"/>
      </w:pPr>
      <w:r>
        <w:rPr>
          <w:rStyle w:val="CharStyle14"/>
        </w:rPr>
        <w:t xml:space="preserve">Руководствуясь главой </w:t>
      </w:r>
      <w:r>
        <w:rPr>
          <w:rStyle w:val="CharStyle14"/>
          <w:lang w:val="en-US" w:eastAsia="en-US"/>
        </w:rPr>
        <w:t xml:space="preserve">6 </w:t>
      </w:r>
      <w:r>
        <w:rPr>
          <w:rStyle w:val="CharStyle14"/>
        </w:rPr>
        <w:t xml:space="preserve">Федерального закона от </w:t>
      </w:r>
      <w:r>
        <w:rPr>
          <w:rStyle w:val="CharStyle14"/>
          <w:lang w:val="en-US" w:eastAsia="en-US"/>
        </w:rPr>
        <w:t xml:space="preserve">05.04.2013 № </w:t>
      </w:r>
      <w:r>
        <w:rPr>
          <w:rStyle w:val="CharStyle14"/>
        </w:rPr>
        <w:t>44-ФЗ «О контрактной системе в сфере закупок товаров, работ, услуг для обеспечения государственных и муниципальных нужд», Комиссия</w:t>
      </w:r>
    </w:p>
    <w:p>
      <w:pPr>
        <w:pStyle w:val="Style13"/>
        <w:keepNext w:val="0"/>
        <w:keepLines w:val="0"/>
        <w:widowControl w:val="0"/>
        <w:shd w:val="clear" w:color="auto" w:fill="auto"/>
        <w:bidi w:val="0"/>
        <w:spacing w:before="0" w:after="260" w:line="240" w:lineRule="auto"/>
        <w:ind w:left="0" w:right="0" w:firstLine="0"/>
        <w:jc w:val="center"/>
      </w:pPr>
      <w:r>
        <w:rPr>
          <w:rStyle w:val="CharStyle14"/>
        </w:rPr>
        <w:t>РЕШИЛА:</w:t>
      </w:r>
    </w:p>
    <w:p>
      <w:pPr>
        <w:pStyle w:val="Style13"/>
        <w:keepNext w:val="0"/>
        <w:keepLines w:val="0"/>
        <w:widowControl w:val="0"/>
        <w:numPr>
          <w:ilvl w:val="0"/>
          <w:numId w:val="3"/>
        </w:numPr>
        <w:shd w:val="clear" w:color="auto" w:fill="auto"/>
        <w:tabs>
          <w:tab w:pos="1055" w:val="left"/>
        </w:tabs>
        <w:bidi w:val="0"/>
        <w:spacing w:before="0" w:after="0" w:line="240" w:lineRule="auto"/>
        <w:ind w:left="0" w:right="0" w:firstLine="720"/>
        <w:jc w:val="both"/>
      </w:pPr>
      <w:r>
        <w:rPr>
          <w:rStyle w:val="CharStyle14"/>
        </w:rPr>
        <w:t xml:space="preserve">Признать жалобу ООО «Алпи-Фарм» на действия заказчика при проведении электронного аукциона «Поставка лекарственного препарата для медицинского применения (МНН </w:t>
      </w:r>
      <w:r>
        <w:rPr>
          <w:rStyle w:val="CharStyle14"/>
          <w:lang w:val="en-US" w:eastAsia="en-US"/>
        </w:rPr>
        <w:t xml:space="preserve">- </w:t>
      </w:r>
      <w:r>
        <w:rPr>
          <w:rStyle w:val="CharStyle14"/>
        </w:rPr>
        <w:t xml:space="preserve">Натрия хлорид) для нужд Клиники </w:t>
      </w:r>
      <w:r>
        <w:rPr>
          <w:rStyle w:val="CharStyle14"/>
          <w:lang w:val="en-US" w:eastAsia="en-US"/>
        </w:rPr>
        <w:t xml:space="preserve">№1 </w:t>
      </w:r>
      <w:r>
        <w:rPr>
          <w:rStyle w:val="CharStyle14"/>
        </w:rPr>
        <w:t xml:space="preserve">ФГБОУ ВО ВолгГМУ Минздрава России (ЛП-113/26/К1)» (номер извещения </w:t>
      </w:r>
      <w:r>
        <w:rPr>
          <w:rStyle w:val="CharStyle14"/>
          <w:lang w:val="en-US" w:eastAsia="en-US"/>
        </w:rPr>
        <w:t xml:space="preserve">0329100015826000115) </w:t>
      </w:r>
      <w:r>
        <w:rPr>
          <w:rStyle w:val="CharStyle14"/>
        </w:rPr>
        <w:t>частично обоснованной в части довода о включении в состав лота лекарственного препарата, не введенного в гражданский оборот.</w:t>
      </w:r>
    </w:p>
    <w:p>
      <w:pPr>
        <w:pStyle w:val="Style13"/>
        <w:keepNext w:val="0"/>
        <w:keepLines w:val="0"/>
        <w:widowControl w:val="0"/>
        <w:numPr>
          <w:ilvl w:val="0"/>
          <w:numId w:val="3"/>
        </w:numPr>
        <w:shd w:val="clear" w:color="auto" w:fill="auto"/>
        <w:tabs>
          <w:tab w:pos="1055" w:val="left"/>
        </w:tabs>
        <w:bidi w:val="0"/>
        <w:spacing w:before="0" w:after="260" w:line="240" w:lineRule="auto"/>
        <w:ind w:left="0" w:right="0" w:firstLine="720"/>
        <w:jc w:val="both"/>
      </w:pPr>
      <w:r>
        <w:rPr>
          <w:rStyle w:val="CharStyle14"/>
        </w:rPr>
        <w:t xml:space="preserve">Признать Заказчика </w:t>
      </w:r>
      <w:r>
        <w:rPr>
          <w:rStyle w:val="CharStyle14"/>
          <w:lang w:val="en-US" w:eastAsia="en-US"/>
        </w:rPr>
        <w:t xml:space="preserve">– </w:t>
      </w:r>
      <w:r>
        <w:rPr>
          <w:rStyle w:val="CharStyle14"/>
        </w:rPr>
        <w:t xml:space="preserve">ФГБОУ ВО «Волгоградский государственный медицинский университет» Министерства здравоохранения Российской Федерации </w:t>
      </w:r>
      <w:r>
        <w:rPr>
          <w:rStyle w:val="CharStyle14"/>
          <w:lang w:val="en-US" w:eastAsia="en-US"/>
        </w:rPr>
        <w:t xml:space="preserve">– </w:t>
      </w:r>
      <w:r>
        <w:rPr>
          <w:rStyle w:val="CharStyle14"/>
        </w:rPr>
        <w:t xml:space="preserve">нарушившим ч. </w:t>
      </w:r>
      <w:r>
        <w:rPr>
          <w:rStyle w:val="CharStyle14"/>
          <w:lang w:val="en-US" w:eastAsia="en-US"/>
        </w:rPr>
        <w:t xml:space="preserve">2 </w:t>
      </w:r>
      <w:r>
        <w:rPr>
          <w:rStyle w:val="CharStyle14"/>
        </w:rPr>
        <w:t xml:space="preserve">ст. </w:t>
      </w:r>
      <w:r>
        <w:rPr>
          <w:rStyle w:val="CharStyle14"/>
          <w:lang w:val="en-US" w:eastAsia="en-US"/>
        </w:rPr>
        <w:t xml:space="preserve">8, </w:t>
      </w:r>
      <w:r>
        <w:rPr>
          <w:rStyle w:val="CharStyle14"/>
        </w:rPr>
        <w:t xml:space="preserve">п. </w:t>
      </w:r>
      <w:r>
        <w:rPr>
          <w:rStyle w:val="CharStyle14"/>
          <w:lang w:val="en-US" w:eastAsia="en-US"/>
        </w:rPr>
        <w:t xml:space="preserve">1 </w:t>
      </w:r>
      <w:r>
        <w:rPr>
          <w:rStyle w:val="CharStyle14"/>
        </w:rPr>
        <w:t xml:space="preserve">ч. </w:t>
      </w:r>
      <w:r>
        <w:rPr>
          <w:rStyle w:val="CharStyle14"/>
          <w:lang w:val="en-US" w:eastAsia="en-US"/>
        </w:rPr>
        <w:t xml:space="preserve">1 </w:t>
      </w:r>
      <w:r>
        <w:rPr>
          <w:rStyle w:val="CharStyle14"/>
        </w:rPr>
        <w:t xml:space="preserve">ст. </w:t>
      </w:r>
      <w:r>
        <w:rPr>
          <w:rStyle w:val="CharStyle14"/>
          <w:lang w:val="en-US" w:eastAsia="en-US"/>
        </w:rPr>
        <w:t xml:space="preserve">33, </w:t>
      </w:r>
      <w:r>
        <w:rPr>
          <w:rStyle w:val="CharStyle14"/>
        </w:rPr>
        <w:t xml:space="preserve">п. </w:t>
      </w:r>
      <w:r>
        <w:rPr>
          <w:rStyle w:val="CharStyle14"/>
          <w:lang w:val="en-US" w:eastAsia="en-US"/>
        </w:rPr>
        <w:t xml:space="preserve">1 </w:t>
      </w:r>
      <w:r>
        <w:rPr>
          <w:rStyle w:val="CharStyle14"/>
        </w:rPr>
        <w:t xml:space="preserve">ч. </w:t>
      </w:r>
      <w:r>
        <w:rPr>
          <w:rStyle w:val="CharStyle14"/>
          <w:lang w:val="en-US" w:eastAsia="en-US"/>
        </w:rPr>
        <w:t xml:space="preserve">2 </w:t>
      </w:r>
      <w:r>
        <w:rPr>
          <w:rStyle w:val="CharStyle14"/>
        </w:rPr>
        <w:t xml:space="preserve">ст. </w:t>
      </w:r>
      <w:r>
        <w:rPr>
          <w:rStyle w:val="CharStyle14"/>
          <w:lang w:val="en-US" w:eastAsia="en-US"/>
        </w:rPr>
        <w:t xml:space="preserve">42 </w:t>
      </w:r>
      <w:r>
        <w:rPr>
          <w:rStyle w:val="CharStyle14"/>
        </w:rPr>
        <w:t xml:space="preserve">Федерального закона от </w:t>
      </w:r>
      <w:r>
        <w:rPr>
          <w:rStyle w:val="CharStyle14"/>
          <w:lang w:val="en-US" w:eastAsia="en-US"/>
        </w:rPr>
        <w:t xml:space="preserve">05.04.2013 № </w:t>
      </w:r>
      <w:r>
        <w:rPr>
          <w:rStyle w:val="CharStyle14"/>
        </w:rPr>
        <w:t>44-ФЗ «О</w:t>
      </w:r>
    </w:p>
    <w:p>
      <w:pPr>
        <w:pStyle w:val="Style13"/>
        <w:keepNext w:val="0"/>
        <w:keepLines w:val="0"/>
        <w:widowControl w:val="0"/>
        <w:shd w:val="clear" w:color="auto" w:fill="auto"/>
        <w:bidi w:val="0"/>
        <w:spacing w:before="0" w:after="0" w:line="240" w:lineRule="auto"/>
        <w:ind w:left="0" w:right="0" w:firstLine="0"/>
        <w:jc w:val="both"/>
      </w:pPr>
      <w:r>
        <w:rPr>
          <w:rStyle w:val="CharStyle14"/>
        </w:rPr>
        <w:t>контрактной системе в сфере закупок товаров, работ, услуг для обеспечения государственных и муниципальных нужд».</w:t>
      </w:r>
    </w:p>
    <w:p>
      <w:pPr>
        <w:pStyle w:val="Style13"/>
        <w:keepNext w:val="0"/>
        <w:keepLines w:val="0"/>
        <w:widowControl w:val="0"/>
        <w:numPr>
          <w:ilvl w:val="0"/>
          <w:numId w:val="3"/>
        </w:numPr>
        <w:shd w:val="clear" w:color="auto" w:fill="auto"/>
        <w:tabs>
          <w:tab w:pos="1101" w:val="left"/>
        </w:tabs>
        <w:bidi w:val="0"/>
        <w:spacing w:before="0" w:after="0" w:line="240" w:lineRule="auto"/>
        <w:ind w:left="0" w:right="0" w:firstLine="740"/>
        <w:jc w:val="both"/>
      </w:pPr>
      <w:r>
        <w:rPr>
          <w:rStyle w:val="CharStyle14"/>
        </w:rPr>
        <w:t>Выдать Заказчику, Комиссии по осуществлению закупок,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pPr>
        <w:pStyle w:val="Style13"/>
        <w:keepNext w:val="0"/>
        <w:keepLines w:val="0"/>
        <w:widowControl w:val="0"/>
        <w:numPr>
          <w:ilvl w:val="0"/>
          <w:numId w:val="3"/>
        </w:numPr>
        <w:shd w:val="clear" w:color="auto" w:fill="auto"/>
        <w:tabs>
          <w:tab w:pos="1111" w:val="left"/>
        </w:tabs>
        <w:bidi w:val="0"/>
        <w:spacing w:before="0" w:after="560" w:line="240" w:lineRule="auto"/>
        <w:ind w:left="0" w:right="0" w:firstLine="740"/>
        <w:jc w:val="both"/>
      </w:pPr>
      <w:r>
        <w:rPr>
          <w:rStyle w:val="CharStyle14"/>
        </w:rPr>
        <w:t>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виновного должностного лица Заказчика.</w:t>
      </w:r>
    </w:p>
    <w:p>
      <w:pPr>
        <w:pStyle w:val="Style13"/>
        <w:keepNext w:val="0"/>
        <w:keepLines w:val="0"/>
        <w:widowControl w:val="0"/>
        <w:shd w:val="clear" w:color="auto" w:fill="auto"/>
        <w:bidi w:val="0"/>
        <w:spacing w:before="0" w:after="8820" w:line="240" w:lineRule="auto"/>
        <w:ind w:left="0" w:right="0" w:firstLine="740"/>
        <w:jc w:val="both"/>
      </w:pPr>
      <w:r>
        <w:rPr>
          <w:rStyle w:val="CharStyle14"/>
        </w:rPr>
        <w:t>Решение и предписание Комиссии могут быть обжалованы в Арбитражный суд Волгоградской области в течение трех месяцев со дня его принятия.</w:t>
      </w:r>
    </w:p>
    <w:p>
      <w:pPr>
        <w:pStyle w:val="Style8"/>
        <w:keepNext w:val="0"/>
        <w:keepLines w:val="0"/>
        <w:widowControl w:val="0"/>
        <w:shd w:val="clear" w:color="auto" w:fill="auto"/>
        <w:bidi w:val="0"/>
        <w:spacing w:before="0" w:after="0" w:line="240" w:lineRule="auto"/>
        <w:ind w:left="0" w:right="0" w:firstLine="0"/>
        <w:jc w:val="left"/>
        <w:rPr>
          <w:sz w:val="20"/>
          <w:szCs w:val="20"/>
        </w:rPr>
      </w:pPr>
      <w:r>
        <w:rPr>
          <w:rStyle w:val="CharStyle9"/>
          <w:color w:val="000000"/>
          <w:sz w:val="20"/>
          <w:szCs w:val="20"/>
        </w:rPr>
        <w:t xml:space="preserve">Исп.Субботин А.А. тел.8(8442) </w:t>
      </w:r>
      <w:r>
        <w:rPr>
          <w:rStyle w:val="CharStyle9"/>
          <w:color w:val="000000"/>
          <w:sz w:val="20"/>
          <w:szCs w:val="20"/>
          <w:lang w:val="en-US" w:eastAsia="en-US"/>
        </w:rPr>
        <w:t>24-22-64</w:t>
      </w:r>
    </w:p>
    <w:sectPr>
      <w:headerReference w:type="default" r:id="rId15"/>
      <w:footerReference w:type="default" r:id="rId16"/>
      <w:footnotePr>
        <w:pos w:val="pageBottom"/>
        <w:numFmt w:val="decimal"/>
        <w:numRestart w:val="continuous"/>
      </w:footnotePr>
      <w:pgSz w:w="11900" w:h="16840"/>
      <w:pgMar w:top="1638" w:right="544" w:bottom="1350" w:left="110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10016490</wp:posOffset>
              </wp:positionV>
              <wp:extent cx="661670" cy="103505"/>
              <wp:wrapNone/>
              <wp:docPr id="5" name="Shape 5"/>
              <a:graphic xmlns:a="http://schemas.openxmlformats.org/drawingml/2006/main">
                <a:graphicData uri="http://schemas.microsoft.com/office/word/2010/wordprocessingShape">
                  <wps:wsp>
                    <wps:cNvSpPr txBox="1"/>
                    <wps:spPr>
                      <a:xfrm>
                        <a:ext cx="6616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2026-3412</w:t>
                          </w:r>
                        </w:p>
                      </w:txbxContent>
                    </wps:txbx>
                    <wps:bodyPr wrap="none" lIns="0" tIns="0" rIns="0" bIns="0">
                      <a:spAutoFit/>
                    </wps:bodyPr>
                  </wps:wsp>
                </a:graphicData>
              </a:graphic>
            </wp:anchor>
          </w:drawing>
        </mc:Choice>
        <mc:Fallback>
          <w:pict>
            <v:shape id="_x0000_s1031" type="#_x0000_t202" style="position:absolute;margin-left:56.850000000000001pt;margin-top:788.70000000000005pt;width:52.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2026-3412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9857740</wp:posOffset>
              </wp:positionV>
              <wp:extent cx="661670" cy="103505"/>
              <wp:wrapNone/>
              <wp:docPr id="7" name="Shape 7"/>
              <a:graphic xmlns:a="http://schemas.openxmlformats.org/drawingml/2006/main">
                <a:graphicData uri="http://schemas.microsoft.com/office/word/2010/wordprocessingShape">
                  <wps:wsp>
                    <wps:cNvSpPr txBox="1"/>
                    <wps:spPr>
                      <a:xfrm>
                        <a:ext cx="6616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2026-3412</w:t>
                          </w:r>
                        </w:p>
                      </w:txbxContent>
                    </wps:txbx>
                    <wps:bodyPr wrap="none" lIns="0" tIns="0" rIns="0" bIns="0">
                      <a:spAutoFit/>
                    </wps:bodyPr>
                  </wps:wsp>
                </a:graphicData>
              </a:graphic>
            </wp:anchor>
          </w:drawing>
        </mc:Choice>
        <mc:Fallback>
          <w:pict>
            <v:shape id="_x0000_s1033" type="#_x0000_t202" style="position:absolute;margin-left:56.75pt;margin-top:776.20000000000005pt;width:52.100000000000001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2026-3412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721995</wp:posOffset>
              </wp:positionH>
              <wp:positionV relativeFrom="page">
                <wp:posOffset>10016490</wp:posOffset>
              </wp:positionV>
              <wp:extent cx="661670" cy="103505"/>
              <wp:wrapNone/>
              <wp:docPr id="15" name="Shape 15"/>
              <a:graphic xmlns:a="http://schemas.openxmlformats.org/drawingml/2006/main">
                <a:graphicData uri="http://schemas.microsoft.com/office/word/2010/wordprocessingShape">
                  <wps:wsp>
                    <wps:cNvSpPr txBox="1"/>
                    <wps:spPr>
                      <a:xfrm>
                        <a:ext cx="6616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2026-3412</w:t>
                          </w:r>
                        </w:p>
                      </w:txbxContent>
                    </wps:txbx>
                    <wps:bodyPr wrap="none" lIns="0" tIns="0" rIns="0" bIns="0">
                      <a:spAutoFit/>
                    </wps:bodyPr>
                  </wps:wsp>
                </a:graphicData>
              </a:graphic>
            </wp:anchor>
          </w:drawing>
        </mc:Choice>
        <mc:Fallback>
          <w:pict>
            <v:shape id="_x0000_s1041" type="#_x0000_t202" style="position:absolute;margin-left:56.850000000000001pt;margin-top:788.70000000000005pt;width:52.10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2026-3412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3928745</wp:posOffset>
              </wp:positionH>
              <wp:positionV relativeFrom="page">
                <wp:posOffset>610870</wp:posOffset>
              </wp:positionV>
              <wp:extent cx="73025" cy="85090"/>
              <wp:wrapNone/>
              <wp:docPr id="3" name="Shape 3"/>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35000000000002pt;margin-top:48.100000000000001pt;width:5.75pt;height:6.70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3928745</wp:posOffset>
              </wp:positionH>
              <wp:positionV relativeFrom="page">
                <wp:posOffset>762635</wp:posOffset>
              </wp:positionV>
              <wp:extent cx="73025" cy="100330"/>
              <wp:wrapNone/>
              <wp:docPr id="11" name="Shape 11"/>
              <a:graphic xmlns:a="http://schemas.openxmlformats.org/drawingml/2006/main">
                <a:graphicData uri="http://schemas.microsoft.com/office/word/2010/wordprocessingShape">
                  <wps:wsp>
                    <wps:cNvSpPr txBox="1"/>
                    <wps:spPr>
                      <a:xfrm>
                        <a:ext cx="7302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9.35000000000002pt;margin-top:60.050000000000004pt;width:5.75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3928745</wp:posOffset>
              </wp:positionH>
              <wp:positionV relativeFrom="page">
                <wp:posOffset>610870</wp:posOffset>
              </wp:positionV>
              <wp:extent cx="73025" cy="85090"/>
              <wp:wrapNone/>
              <wp:docPr id="13" name="Shape 13"/>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9.35000000000002pt;margin-top:48.100000000000001pt;width:5.75pt;height:6.7000000000000002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561A1"/>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color w:val="4561A1"/>
      <w:sz w:val="19"/>
      <w:szCs w:val="19"/>
      <w:u w:val="none"/>
    </w:rPr>
  </w:style>
  <w:style w:type="character" w:customStyle="1" w:styleId="CharStyle12">
    <w:name w:val="Picture caption_"/>
    <w:basedOn w:val="DefaultParagraphFont"/>
    <w:link w:val="Style11"/>
    <w:rPr>
      <w:rFonts w:ascii="Times New Roman" w:eastAsia="Times New Roman" w:hAnsi="Times New Roman" w:cs="Times New Roman"/>
      <w:b w:val="0"/>
      <w:bCs w:val="0"/>
      <w:i w:val="0"/>
      <w:iCs w:val="0"/>
      <w:smallCaps w:val="0"/>
      <w:strike w:val="0"/>
      <w:color w:val="4561A1"/>
      <w:sz w:val="20"/>
      <w:szCs w:val="20"/>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Heading #1_"/>
    <w:basedOn w:val="DefaultParagraphFont"/>
    <w:link w:val="Style15"/>
    <w:rPr>
      <w:rFonts w:ascii="Arial" w:eastAsia="Arial" w:hAnsi="Arial" w:cs="Arial"/>
      <w:b w:val="0"/>
      <w:bCs w:val="0"/>
      <w:i w:val="0"/>
      <w:iCs w:val="0"/>
      <w:smallCaps w:val="0"/>
      <w:strike w:val="0"/>
      <w:sz w:val="36"/>
      <w:szCs w:val="36"/>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1"/>
      <w:sz w:val="16"/>
      <w:szCs w:val="16"/>
      <w:u w:val="none"/>
    </w:rPr>
  </w:style>
  <w:style w:type="paragraph" w:customStyle="1" w:styleId="Style8">
    <w:name w:val="Body text (3)"/>
    <w:basedOn w:val="Normal"/>
    <w:link w:val="CharStyle9"/>
    <w:pPr>
      <w:widowControl w:val="0"/>
      <w:shd w:val="clear" w:color="auto" w:fill="auto"/>
      <w:spacing w:after="90" w:line="247" w:lineRule="auto"/>
    </w:pPr>
    <w:rPr>
      <w:rFonts w:ascii="Times New Roman" w:eastAsia="Times New Roman" w:hAnsi="Times New Roman" w:cs="Times New Roman"/>
      <w:b/>
      <w:bCs/>
      <w:i w:val="0"/>
      <w:iCs w:val="0"/>
      <w:smallCaps w:val="0"/>
      <w:strike w:val="0"/>
      <w:color w:val="4561A1"/>
      <w:sz w:val="19"/>
      <w:szCs w:val="19"/>
      <w:u w:val="none"/>
    </w:rPr>
  </w:style>
  <w:style w:type="paragraph" w:customStyle="1" w:styleId="Style11">
    <w:name w:val="Picture caption"/>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561A1"/>
      <w:sz w:val="20"/>
      <w:szCs w:val="20"/>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Heading #1"/>
    <w:basedOn w:val="Normal"/>
    <w:link w:val="CharStyle16"/>
    <w:pPr>
      <w:widowControl w:val="0"/>
      <w:shd w:val="clear" w:color="auto" w:fill="auto"/>
      <w:spacing w:after="30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s>
</file>