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</w:pPr>
      <w:r>
        <w:rPr>
          <w:rStyle w:val="CharStyle9"/>
          <w:color w:val="4460A1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«Торгсервис» пр-кт. Московский, д. 93, кв. 68, г. Воронеж, 394077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"mailto:VRN-TORGSERVIS@yandex.ru" </w:instrText>
      </w:r>
      <w:r>
        <w:fldChar w:fldCharType="separate"/>
      </w:r>
      <w:r>
        <w:rPr>
          <w:rStyle w:val="CharStyle14"/>
          <w:lang w:val="en-US" w:eastAsia="en-US"/>
        </w:rPr>
        <w:t>VRN-TORGSERVIS@yandex.ru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КГБПОУ «Норильский техникум промышленных технологий и сервиса» ул. Павлова, д. 13, г. Норильск, Красноярский край, 663305 </w:t>
      </w:r>
      <w:r>
        <w:fldChar w:fldCharType="begin"/>
      </w:r>
      <w:r>
        <w:rPr/>
        <w:instrText> HYPERLINK "mailto:zaktex17@mail.ru" </w:instrText>
      </w:r>
      <w:r>
        <w:fldChar w:fldCharType="separate"/>
      </w:r>
      <w:r>
        <w:rPr>
          <w:rStyle w:val="CharStyle14"/>
          <w:lang w:val="en-US" w:eastAsia="en-US"/>
        </w:rPr>
        <w:t>zaktex17@mail.ru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Агентство государственного заказа 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пр-т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4"/>
          <w:lang w:val="en-US" w:eastAsia="en-US"/>
        </w:rPr>
        <w:t>agz_priem@mail.ru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1098" w:bottom="1212" w:left="1135" w:header="0" w:footer="3" w:gutter="0"/>
          <w:pgNumType w:start="1"/>
          <w:cols w:num="2" w:space="874"/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8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Решение № 024/06/105-1540/2026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12700</wp:posOffset>
                </wp:positionV>
                <wp:extent cx="981710" cy="23177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8.5pt;margin-top:1.pt;width:77.299999999999997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15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Комиссия Красноярского УФАС России по контролю в сфере закупок в составе: Председатель Комиссии – Е.О. Хорышев, начальник отдела; члены Комиссии – К.С. Варава, заместитель начальника отдела, Н.Д. Ратегов, государственный инспектор (далее – Комиссия), рассмотрев жалобу ООО «Торгсервис» (далее – податель жалобы, заявитель) на действия заказчика – КГБПОУ «Норильский техникум промышленных технологий и сервиса» (далее – заказчик), уполномоченного органа — Агентства государственного заказа Красноярского края (далее — уполномоченный орган) при проведении электронного аукциона «Поставка оборудования в целях реализации федерального проекта «Профессионалитет» государственной программы Российской Федерации «Развитие образования», ИКЗ 262245702386824570100100120010000244, извещение №0119200000126007870 на электронной торговой площадке АО «Сбербанк-АСТ» (далее —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Существо жалобы: несоответствие извещения о проведении электронного аукциона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4"/>
        </w:rPr>
        <w:t>В адрес заказчика, уполномоченного органа, подателя жалобы, оператора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6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Заседание Комиссии по рассмотрению жалобы по существу было проведено </w:t>
      </w:r>
      <w:r>
        <w:rPr>
          <w:rStyle w:val="CharStyle14"/>
          <w:lang w:val="en-US" w:eastAsia="en-US"/>
        </w:rPr>
        <w:t xml:space="preserve">15.05.2026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часов </w:t>
      </w:r>
      <w:r>
        <w:rPr>
          <w:rStyle w:val="CharStyle14"/>
          <w:lang w:val="en-US" w:eastAsia="en-US"/>
        </w:rPr>
        <w:t xml:space="preserve">00 </w:t>
      </w:r>
      <w:r>
        <w:rPr>
          <w:rStyle w:val="CharStyle14"/>
        </w:rPr>
        <w:t>минут (время местное). До начала заседания Заказчиком в адрес Комиссии представлено ходатайство о рассмотрении жалобы в отсутствие представителей. Податель жалобы не обеспечил явку представителя, будучи надлежащим образом уведомлен о месте и времени рассмотрения жалобы. Уполномоченный орган обеспечил явку представителя. Личность, полномочия участника удостоверены.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Заявитель в жалобе указывает, что установленные Заказчиком требования к одной из позиций закупочной процедуры </w:t>
      </w:r>
      <w:r>
        <w:rPr>
          <w:rStyle w:val="CharStyle14"/>
          <w:lang w:val="en-US" w:eastAsia="en-US"/>
        </w:rPr>
        <w:t xml:space="preserve">№ 0119200000126007870: </w:t>
      </w:r>
      <w:r>
        <w:rPr>
          <w:rStyle w:val="CharStyle14"/>
        </w:rPr>
        <w:t xml:space="preserve">«Ноутбук» с кодом позиции КТРУ </w:t>
      </w:r>
      <w:r>
        <w:rPr>
          <w:rStyle w:val="CharStyle14"/>
          <w:lang w:val="en-US" w:eastAsia="en-US"/>
        </w:rPr>
        <w:t xml:space="preserve">26.20.11.110-00000139 </w:t>
      </w:r>
      <w:r>
        <w:rPr>
          <w:rStyle w:val="CharStyle14"/>
        </w:rPr>
        <w:t>являются избыточными, не обусловлены объективной потребностью Заказчика и влекут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соответствии с жалобой ограничение конкуренции выражается в установлении требований к количеству и типам встроенных в корпус ноутбука портов </w:t>
      </w:r>
      <w:r>
        <w:rPr>
          <w:rStyle w:val="CharStyle14"/>
          <w:lang w:val="en-US" w:eastAsia="en-US"/>
        </w:rPr>
        <w:t xml:space="preserve">USB. </w:t>
      </w:r>
      <w:r>
        <w:rPr>
          <w:rStyle w:val="CharStyle14"/>
        </w:rPr>
        <w:t xml:space="preserve">В частности, Заявитель указывает на требования о наличии не менее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встроенных в корпус портов </w:t>
      </w:r>
      <w:r>
        <w:rPr>
          <w:rStyle w:val="CharStyle14"/>
          <w:lang w:val="en-US" w:eastAsia="en-US"/>
        </w:rPr>
        <w:t xml:space="preserve">USB Type-C, </w:t>
      </w:r>
      <w:r>
        <w:rPr>
          <w:rStyle w:val="CharStyle14"/>
        </w:rPr>
        <w:t xml:space="preserve">не менее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портов </w:t>
      </w:r>
      <w:r>
        <w:rPr>
          <w:rStyle w:val="CharStyle14"/>
          <w:lang w:val="en-US" w:eastAsia="en-US"/>
        </w:rPr>
        <w:t xml:space="preserve">USB 3.2 Gen 2 Type-C, </w:t>
      </w:r>
      <w:r>
        <w:rPr>
          <w:rStyle w:val="CharStyle14"/>
        </w:rPr>
        <w:t xml:space="preserve">не менее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порта </w:t>
      </w:r>
      <w:r>
        <w:rPr>
          <w:rStyle w:val="CharStyle14"/>
          <w:lang w:val="en-US" w:eastAsia="en-US"/>
        </w:rPr>
        <w:t xml:space="preserve">USB 3.2 Gen 1 Type-C, </w:t>
      </w:r>
      <w:r>
        <w:rPr>
          <w:rStyle w:val="CharStyle14"/>
        </w:rPr>
        <w:t xml:space="preserve">не менее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портов </w:t>
      </w:r>
      <w:r>
        <w:rPr>
          <w:rStyle w:val="CharStyle14"/>
          <w:lang w:val="en-US" w:eastAsia="en-US"/>
        </w:rPr>
        <w:t xml:space="preserve">USB 3.2 Gen 2 Type-A, </w:t>
      </w:r>
      <w:r>
        <w:rPr>
          <w:rStyle w:val="CharStyle14"/>
        </w:rPr>
        <w:t xml:space="preserve">а также суммарного количества встроенных в корпус портов </w:t>
      </w:r>
      <w:r>
        <w:rPr>
          <w:rStyle w:val="CharStyle14"/>
          <w:lang w:val="en-US" w:eastAsia="en-US"/>
        </w:rPr>
        <w:t xml:space="preserve">USB Type-C </w:t>
      </w:r>
      <w:r>
        <w:rPr>
          <w:rStyle w:val="CharStyle14"/>
        </w:rPr>
        <w:t xml:space="preserve">не менее </w:t>
      </w:r>
      <w:r>
        <w:rPr>
          <w:rStyle w:val="CharStyle14"/>
          <w:lang w:val="en-US" w:eastAsia="en-US"/>
        </w:rPr>
        <w:t xml:space="preserve">4. </w:t>
      </w:r>
      <w:r>
        <w:rPr>
          <w:rStyle w:val="CharStyle14"/>
        </w:rPr>
        <w:t>Заявитель считает, что такая совокупность характеристик является нестандартной для ноутбуков, используемых в офисных и презентационных целях, а требуемая конфигурация портов ввода-вывода приводит к ситуации, при которой установленным требованиям соответствует продукция одного производителя либо ограниченного круга поставщиков.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В связи с возникшей потребностью у Заказчика Уполномоченным органом были совершены действия по проведению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Объектом закупки, исходя из извещения </w:t>
      </w:r>
      <w:r>
        <w:rPr>
          <w:rStyle w:val="CharStyle14"/>
          <w:lang w:val="en-US" w:eastAsia="en-US"/>
        </w:rPr>
        <w:t xml:space="preserve">№ 0119200000126007870, </w:t>
      </w:r>
      <w:r>
        <w:rPr>
          <w:rStyle w:val="CharStyle14"/>
        </w:rPr>
        <w:t>является «Поставка оборудования в целях реализации федерального проекта «Профессионалитет» государственной программы Российской Федерации «Развитие образования».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заказчик вправе определить такие требования к товару (работе, услуге), которые соответствуют его потребности с учетом специфики деятельности. Потребностью Заказчика является поставка оборудования в целях реализации федерального проекта «Профессионалитет» государственной программы Российской Федерации «Развитие образования».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Специфика каждой закупки определяет необходимые требования к товару, в связи с чем правомочие на их установление законодательством Российской Федерации о контрактной системе предоставлено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содержащей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Относительно доводов жалобы Комиссия сообщает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В соответствии с письменными пояснениями Заказчика описание объекта закупки сформировано исходя из его объективной потребности, связанной с оснащением образовательных площадей в рамках реализации федерального проекта «Профессионалитет». Поставляемое оборудование предназначено не для обычного офисного или презентационного использования, а для применения в учебно</w:t>
        <w:softHyphen/>
        <w:t xml:space="preserve">производственном процессе при подготовке обучающихся. Ноутбуки планируются к использованию в специализированных учебных аудиториях и лабораториях, где осуществляется работа с периферийными устройствами, промышленными контроллерами, программаторами, диагностическим оборудованием, внешними накопителями данных, средствами визуализации, измерительными приборами, мультимедийным оборудованием и иными устройствами, подключаемыми посредством </w:t>
      </w:r>
      <w:r>
        <w:rPr>
          <w:rStyle w:val="CharStyle14"/>
          <w:lang w:val="en-US" w:eastAsia="en-US"/>
        </w:rPr>
        <w:t xml:space="preserve">USB-интерфейсов </w:t>
      </w:r>
      <w:r>
        <w:rPr>
          <w:rStyle w:val="CharStyle14"/>
        </w:rPr>
        <w:t>различных типов и поколений.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Заказчик указал, что требования к количеству и типам </w:t>
      </w:r>
      <w:r>
        <w:rPr>
          <w:rStyle w:val="CharStyle14"/>
          <w:lang w:val="en-US" w:eastAsia="en-US"/>
        </w:rPr>
        <w:t xml:space="preserve">USB-портов </w:t>
      </w:r>
      <w:r>
        <w:rPr>
          <w:rStyle w:val="CharStyle14"/>
        </w:rPr>
        <w:t>обусловлены необходимостью одновременного подключения нескольких периферийных устройств без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использования внешних </w:t>
      </w:r>
      <w:r>
        <w:rPr>
          <w:rStyle w:val="CharStyle14"/>
          <w:lang w:val="en-US" w:eastAsia="en-US"/>
        </w:rPr>
        <w:t xml:space="preserve">USB-разветвителей </w:t>
      </w:r>
      <w:r>
        <w:rPr>
          <w:rStyle w:val="CharStyle14"/>
        </w:rPr>
        <w:t>и док-станций, обеспечения стабильной работы оборудования в условиях учебно-производственной эксплуатации. Применение внешних концентраторов, переходников и док-станций, по мнению Заказчика, увеличивает риск нестабильной работы оборудования, возникновения неисправностей, потери соединения с периферийными устройствами, а также влечет дополнительные затраты на эксплуатацию и обслуживание.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Кроме того, Заказчик указал, что до формирования технического задания осуществлялся сбор коммерческих предложений путем прямого обращения к поставщикам, имеющим опыт поставки соответствующего оборудования, а также на сайте ЕИС был размещен запрос цен с указанием технических характеристик оборудования, по результатам которого были получены три предложения. Указанные предложения содержали информацию о возможности поставки товаров, соответствующих предмету рассматриваемой позиции закупки, различных производителей.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Уполномоченный орган в письменных пояснениях указал, что законодательством не установлена обязанность Заказчика расширять конкуренцию до всех без исключения потенциальных участников закупки, если такое расширение приведет к вероятности получения товара, не отвечающего потребности Заказчика по функциональным и техническим характеристикам.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Комиссия Красноярского УФАС России, изучив доводы жалобы, письменные пояснения Заказчика, Уполномоченного органа, извещение о проведении закупки и представленные материалы,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Заказчик при описании объекта закупки вправе определить характеристики товара, необходимые для удовлетворения его потребности, при условии что такие характеристики имеют объективную связь с предметом закупки, не установлены произвольно, позволяют определить соответствие поставляемого товара требованиям извещения и не содержат условий, необоснованно ограничивающих количество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Само по себе отличие требований заказчика от характеристик массового потребительского либо офисного оборудования не свидетельствует о нарушении Закона о контрактной системе. Описание объекта закупки формируется не исходя из усредненных характеристик товара, присутствующего на рынке, а исходя из потребности заказчика, при условии соблюдения требований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системе. Заказчиком приведено функциональное обоснование спорных характеристик: необходимость одновременного подключения нескольких устройств, обеспечения стабильной работы оборудования без внешних концентраторов и док-станций, совместимости с устройствами </w:t>
      </w:r>
      <w:r>
        <w:rPr>
          <w:rStyle w:val="CharStyle14"/>
          <w:lang w:val="en-US" w:eastAsia="en-US"/>
        </w:rPr>
        <w:t xml:space="preserve">Type-A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Type-C, </w:t>
      </w:r>
      <w:r>
        <w:rPr>
          <w:rStyle w:val="CharStyle14"/>
        </w:rPr>
        <w:t xml:space="preserve">а также подключения оборудования, требующего высокоскоростных интерфейсов </w:t>
      </w:r>
      <w:r>
        <w:rPr>
          <w:rStyle w:val="CharStyle14"/>
          <w:lang w:val="en-US" w:eastAsia="en-US"/>
        </w:rPr>
        <w:t>USB 3.2 Gen 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Комиссия также учитывает, что использование внешних переходников, </w:t>
      </w:r>
      <w:r>
        <w:rPr>
          <w:rStyle w:val="CharStyle14"/>
          <w:lang w:val="en-US" w:eastAsia="en-US"/>
        </w:rPr>
        <w:t xml:space="preserve">USB- </w:t>
      </w:r>
      <w:r>
        <w:rPr>
          <w:rStyle w:val="CharStyle14"/>
        </w:rPr>
        <w:t>разветвителей и док-станций не является равнозначной заменой встроенных портов ноутбука, поскольку предполагает применение дополнительного оборудования.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Из материалов дела следует, что Заказчиком до размещения закупки проводился анализ рынка, в том числе путем получения коммерческих предложений и размещения запроса цен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Комиссия дополнительно учитывает, что на участие в рассматриваемой закупке было подано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заявки,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из которых признаны соответствующими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Таким образом, проанализировав совокупность положений извещения о проведении электронного аукциона, материалов внеплановой проверки, Комиссия пришла к выводу, что при формировании условий извещения об осуществлении закупки субъектами контроля не было допущено нарушений требований действующего законодательства о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В результате рассмотрения жалобы, проведения внеплановой проверки, руководствуясь частями </w:t>
      </w:r>
      <w:r>
        <w:rPr>
          <w:rStyle w:val="CharStyle14"/>
          <w:lang w:val="en-US" w:eastAsia="en-US"/>
        </w:rPr>
        <w:t xml:space="preserve">3, 15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Комиссия Красноярского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РЕШИЛА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признать жалобу ООО «Торгсервис»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6160135</wp:posOffset>
                </wp:positionH>
                <wp:positionV relativeFrom="paragraph">
                  <wp:posOffset>12700</wp:posOffset>
                </wp:positionV>
                <wp:extent cx="1054735" cy="99377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993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Е.О. Хорышев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К.С. Варава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Н.Д. Ратегов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5.05000000000001pt;margin-top:1.pt;width:83.049999999999997pt;height:7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Е.О. Хорышев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К.С. Варава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Н.Д. Ратегов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4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400" w:line="240" w:lineRule="auto"/>
        <w:ind w:left="0" w:right="0" w:firstLine="0"/>
        <w:jc w:val="left"/>
      </w:pPr>
      <w:r>
        <w:rPr>
          <w:rStyle w:val="CharStyle14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Исп.Ратегов Н.Д. тел.8(391)211-0144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8" w:right="537" w:bottom="1183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10005695</wp:posOffset>
              </wp:positionV>
              <wp:extent cx="327660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660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2026-7450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7.85000000000002pt;width:258.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2026-7450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3119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2026-7450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49.700000000000003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2026-7450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40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