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ФГБУ «НМИЦК им. ак. Е.И. Чазова»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"mailto:omts-kardio@yandex.ru" </w:instrText>
      </w:r>
      <w:r>
        <w:fldChar w:fldCharType="separate"/>
      </w:r>
      <w:r>
        <w:rPr>
          <w:rStyle w:val="CharStyle10"/>
          <w:lang w:val="en-US" w:eastAsia="en-US"/>
        </w:rPr>
        <w:t>omts-kardio@yandex.ru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ИП Кравченко А.В.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997" w:bottom="708" w:left="1135" w:header="0" w:footer="3" w:gutter="0"/>
          <w:pgNumType w:start="1"/>
          <w:cols w:num="2" w:space="720" w:equalWidth="0">
            <w:col w:w="4066" w:space="1205"/>
            <w:col w:w="4498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0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4" w:right="0" w:bottom="96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  <w:br/>
        <w:t>по делу №077/06/105-6207/2026 о нарушении</w:t>
        <w:br/>
        <w:t>законодательства о контрактной системе</w:t>
        <w:br/>
        <w:t>15.05.2026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А.С. Гелмутдиновой,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видео-конференц-связи),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представителей ФГБУ «НМИЦК им. ак. Е.И. Чазова» Минздрава России: Кузина А.А. (дов.№б/н от 16.03.2026), Тарасова И.А. (дов.№б/н от 13.2026),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слушателя: Петриковой Е.Б.,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отсутствие представителей ИП Кравченко А.В.,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рассмотрев жалобу ИП Кравченко А.В. (далее – Заявитель) на действия ФГБУ «НМИЦК им. АК. Е.И. Чазова» Минздрава России (далее - Заказчик) при проведении электронного аукциона на право заключения государственного контракта на поставку оборудования (218) (Закупка №0373100015826000208) (далее – аукцион), в соответствии с Федеральным законом от 05.04.2013 №44-ФЗ «О контрактной системе в сфере закупок товаров, работ, услуг для обеспечения</w:t>
      </w:r>
    </w:p>
    <w:p>
      <w:pPr>
        <w:widowControl w:val="0"/>
        <w:spacing w:after="57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10"/>
        </w:rPr>
        <w:t xml:space="preserve">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составе жалобы Заявитель указывает, что Заказчиком при описании объекта закупки неправомерно не применены позиции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КТРУ) применены дополнительные, не предусмотренные позициями КТРУ, требования к характеристикам изделий, а также в одну закупку объединена поставка товаров разных кодов по общероссийскому классификатору продукции по видам экономической деятельности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ОКПД </w:t>
      </w:r>
      <w:r>
        <w:rPr>
          <w:rStyle w:val="CharStyle10"/>
          <w:lang w:val="en-US" w:eastAsia="en-US"/>
        </w:rPr>
        <w:t xml:space="preserve">2) </w:t>
      </w:r>
      <w:r>
        <w:rPr>
          <w:rStyle w:val="CharStyle10"/>
        </w:rPr>
        <w:t>и разных направлений.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сопровождение такого указания словами «или эквивалент»;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 используемыми заказчиком;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400" w:line="240" w:lineRule="auto"/>
        <w:ind w:left="0" w:right="0" w:firstLine="700"/>
        <w:jc w:val="both"/>
      </w:pPr>
      <w:r>
        <w:rPr>
          <w:rStyle w:val="CharStyle1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п.5 ч.1 ст.42 Закона о контрактной системе извещение об осуществлении закупки должно содержать наименование объекта закупки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08.02.2017 №145 </w:t>
      </w:r>
      <w:r>
        <w:rPr>
          <w:rStyle w:val="CharStyle10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Правила использования КТРУ).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пп.«а» п.2 Правил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приглашении принять участие в определении поставщика (подрядчика исполнителя)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приглашение);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контракте;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реестре контрактов, заключенных заказчиками.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«г» и «е»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наименование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7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4" w:right="542" w:bottom="967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единицы измерения количества товара, объема выполняемой работы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оказываемой услуги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описание товара, работы, услуги (при наличии такого описания в позиции).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0"/>
        </w:rPr>
        <w:t>П.5 Правил использования КТРУ в том числе определено, что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каталога, за исключением случаев: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4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10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0"/>
          <w:lang w:val="en-US" w:eastAsia="en-US"/>
        </w:rPr>
        <w:t xml:space="preserve">25, 26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32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№1 </w:t>
      </w:r>
      <w:r>
        <w:rPr>
          <w:rStyle w:val="CharStyle10"/>
        </w:rPr>
        <w:t xml:space="preserve">к постановлению Правительства Российской Федерации от </w:t>
      </w:r>
      <w:r>
        <w:rPr>
          <w:rStyle w:val="CharStyle10"/>
          <w:lang w:val="en-US" w:eastAsia="en-US"/>
        </w:rPr>
        <w:t xml:space="preserve">23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2024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 услуг отдельными видами юридических лиц»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Постановление№1875), позициях </w:t>
      </w:r>
      <w:r>
        <w:rPr>
          <w:rStyle w:val="CharStyle10"/>
          <w:lang w:val="en-US" w:eastAsia="en-US"/>
        </w:rPr>
        <w:t xml:space="preserve">191 - 361 </w:t>
      </w:r>
      <w:r>
        <w:rPr>
          <w:rStyle w:val="CharStyle10"/>
        </w:rPr>
        <w:t xml:space="preserve">приложения </w:t>
      </w:r>
      <w:r>
        <w:rPr>
          <w:rStyle w:val="CharStyle10"/>
          <w:lang w:val="en-US" w:eastAsia="en-US"/>
        </w:rPr>
        <w:t xml:space="preserve">№2 </w:t>
      </w:r>
      <w:r>
        <w:rPr>
          <w:rStyle w:val="CharStyle10"/>
        </w:rPr>
        <w:t xml:space="preserve">к Постановлению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применяются предусмотренные п.1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>запрет, ограничение соответственно;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4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10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0"/>
        </w:rPr>
        <w:t>П.6 Правил использования КТРУ установлено, что в случае предоставления дополнительной информации, предусмотренной п.5 Правил использования КТРУ заказчик обязан включить в описание товара, работы, услуги обоснование необходимости использования такой информации (при наличии описания товара работы, услуги в позиции каталога).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0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0"/>
        </w:rPr>
        <w:t xml:space="preserve">Комиссией Управления установлено, что, согласно извещению об осуществлении закупки Заказчиком закупается единственный вид изделий «Секвенатор», при этом при описании объекта закупки Заказчиком указано на соответствие изделия коду ОКПД2 </w:t>
      </w:r>
      <w:r>
        <w:rPr>
          <w:rStyle w:val="CharStyle10"/>
          <w:lang w:val="en-US" w:eastAsia="en-US"/>
        </w:rPr>
        <w:t xml:space="preserve">26.60.12.119 </w:t>
      </w:r>
      <w:r>
        <w:rPr>
          <w:rStyle w:val="CharStyle10"/>
        </w:rPr>
        <w:t xml:space="preserve">«Аппараты </w:t>
      </w:r>
      <w:r>
        <w:rPr>
          <w:rStyle w:val="CharStyle10"/>
          <w:sz w:val="24"/>
          <w:szCs w:val="24"/>
          <w:lang w:val="en-US" w:eastAsia="en-US"/>
        </w:rPr>
        <w:t>2026-25073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10"/>
        </w:rPr>
        <w:t>электродиагностические прочие», без использования позиции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указание в описании объекта закупки требований к характеристикам закупаемых изделий, не предусмотренных используемой позиций КТРУ, не противоречит пп.«а» п.5, п.6 Правил использования КТРУ, так как, в рассматриваемом случае, пп.«а» п.5, п.6 Правил использования КТРУ не подлежат применению, ввиду неприменения Заказчиком при описании изделия позиций КТРУ.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10"/>
        </w:rPr>
        <w:t>Вместе с этим,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при этом в составе жалобы Заявителем, не представлено документов и сведений, подтверждающие доводы жалобы, в частности указание на позиции КТРУ, которые соответствуют закупаемому Заказчиком изделию, а также не указано на конкретные изделия, которые по мнению Заявителя запрещено закупать в рамках одной конкурентной процедуры,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10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ч.1 ст.49 Гражданского кодекса Российской Федерации в случаях предусмотренных законом, юридическое лицо может заниматься отдельными видами деятельности только на основании специального разрешения (лицензии)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На основании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</w:t>
      </w:r>
      <w:r>
        <w:rPr>
          <w:rStyle w:val="CharStyle10"/>
          <w:lang w:val="en-US" w:eastAsia="en-US"/>
        </w:rPr>
        <w:t xml:space="preserve">4, 5, 18, 30, 42, 49, 54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59 </w:t>
      </w:r>
      <w:r>
        <w:rPr>
          <w:rStyle w:val="CharStyle10"/>
        </w:rPr>
        <w:t>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10"/>
          <w:lang w:val="en-US" w:eastAsia="en-US"/>
        </w:rPr>
        <w:t xml:space="preserve">1, 1.1, 2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886" w:right="547" w:bottom="651" w:left="1105" w:header="0" w:footer="22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П.12 ч.1 ст.42 Закона о контрактной системе установлено, что извещение об осуществлении закупки, должно содержать требования, предъявляемые к </w:t>
      </w:r>
      <w:r>
        <w:rPr>
          <w:rStyle w:val="CharStyle10"/>
          <w:sz w:val="24"/>
          <w:szCs w:val="24"/>
          <w:lang w:val="en-US" w:eastAsia="en-US"/>
        </w:rPr>
        <w:t>2026-25073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участникам закупки в соответствии с ч.1 ст.31 Закона о контрактной системе требования, предъявляемые к участникам закупки в соответствии с ч.2 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определено, что, вопреки доводам жалобы, в извещении об осуществлении закупки Заказчиком не установлены требования к правоспособности участников закупки в соответствии с п.1 ч.1 ст.31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Исходя из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Заказчик установил (не применил) ограничение закупок товаров, происходящих из иностранных государств, по Постановлению Правительства Российской Федерации от </w:t>
      </w:r>
      <w:r>
        <w:rPr>
          <w:rStyle w:val="CharStyle10"/>
          <w:lang w:val="en-US" w:eastAsia="en-US"/>
        </w:rPr>
        <w:t xml:space="preserve">23.12.2024 №1875 </w:t>
      </w:r>
      <w:r>
        <w:rPr>
          <w:rStyle w:val="CharStyle1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1875), </w:t>
      </w:r>
      <w:r>
        <w:rPr>
          <w:rStyle w:val="CharStyle10"/>
        </w:rPr>
        <w:t>однако указанным в описании объекта закупки требованиям к техническим характеристикам, в полной мере, не соответствует ни один товар из реестра российской радиоэлектронной продукции.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обоснование своей позиции Заявитель указывает, что на день подачи жалоб в едином реестре российской радиоэлектронной продукции зарегистрировано несколько ультразвуковых аппарата, производства АО «НИПК «Электрон» АО «Уральский приборостроительный завод», АО «Заслон» и ООО НМФ «Нейротех»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Закона о контрактной системе, положения ст.14 Закона о контрактной системе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П.1ч.2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 Постановление Правительства РФ от </w:t>
      </w:r>
      <w:r>
        <w:rPr>
          <w:rStyle w:val="CharStyle10"/>
          <w:lang w:val="en-US" w:eastAsia="en-US"/>
        </w:rPr>
        <w:t xml:space="preserve">10.07.2019 №878 </w:t>
      </w:r>
      <w:r>
        <w:rPr>
          <w:rStyle w:val="CharStyle10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0"/>
          <w:lang w:val="en-US" w:eastAsia="en-US"/>
        </w:rPr>
        <w:t xml:space="preserve">16 </w:t>
      </w:r>
      <w:r>
        <w:rPr>
          <w:rStyle w:val="CharStyle10"/>
        </w:rPr>
        <w:t xml:space="preserve">сентября </w:t>
      </w:r>
      <w:r>
        <w:rPr>
          <w:rStyle w:val="CharStyle10"/>
          <w:lang w:val="en-US" w:eastAsia="en-US"/>
        </w:rPr>
        <w:t xml:space="preserve">2016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№925 </w:t>
      </w:r>
      <w:r>
        <w:rPr>
          <w:rStyle w:val="CharStyle10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№878) </w:t>
      </w:r>
      <w:r>
        <w:rPr>
          <w:rStyle w:val="CharStyle10"/>
        </w:rPr>
        <w:t xml:space="preserve">утвержден единый реестр российской радиоэлектронной продукции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Реестр).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 Постановления </w:t>
      </w:r>
      <w:r>
        <w:rPr>
          <w:rStyle w:val="CharStyle10"/>
          <w:lang w:val="en-US" w:eastAsia="en-US"/>
        </w:rPr>
        <w:t xml:space="preserve">№ 1875 </w:t>
      </w:r>
      <w:r>
        <w:rPr>
          <w:rStyle w:val="CharStyle10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иностранные лица), по перечню согласно приложению </w:t>
      </w:r>
      <w:r>
        <w:rPr>
          <w:rStyle w:val="CharStyle10"/>
          <w:lang w:val="en-US" w:eastAsia="en-US"/>
        </w:rPr>
        <w:t xml:space="preserve">№1, </w:t>
      </w:r>
      <w:r>
        <w:rPr>
          <w:rStyle w:val="CharStyle10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 оказываемых иностранными лицами;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126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889" w:right="547" w:bottom="1259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ограничение закупок товаров (в том числе поставляемых при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0"/>
          <w:lang w:val="en-US" w:eastAsia="en-US"/>
        </w:rPr>
        <w:t>№2;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что, согласно извещению об осуществлении закупок, в отношении закупаемых изделий Заказчиком установлены защитные меры, предусмотренные п.1 Постановления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положениями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и Постановления </w:t>
      </w:r>
      <w:r>
        <w:rPr>
          <w:rStyle w:val="CharStyle10"/>
          <w:lang w:val="en-US" w:eastAsia="en-US"/>
        </w:rPr>
        <w:t xml:space="preserve">№878 </w:t>
      </w:r>
      <w:r>
        <w:rPr>
          <w:rStyle w:val="CharStyle10"/>
        </w:rPr>
        <w:t>не установлены требования о том что описание объекта закупки, сформированное в соответствии с положениями Закона о контрактной системе, должно быть сформировано на основании характеристик товаров, содержащихся в Реестре.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Кроме того,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Заказчиком не исполнены требования Постановления Правительства РФ от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2020 № 2014 </w:t>
      </w:r>
      <w:r>
        <w:rPr>
          <w:rStyle w:val="CharStyle10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№2014), </w:t>
      </w:r>
      <w:r>
        <w:rPr>
          <w:rStyle w:val="CharStyle10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0"/>
          <w:lang w:val="en-US" w:eastAsia="en-US"/>
        </w:rPr>
        <w:t>80%.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>утрачивает силу.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П.12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в том числе определено, что Постановление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вступает в силу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>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889" w:right="541" w:bottom="644" w:left="1106" w:header="0" w:footer="216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Пп.«а» п.10 Постановления №1875установлено, что Постановление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</w:t>
      </w:r>
      <w:r>
        <w:rPr>
          <w:rStyle w:val="CharStyle10"/>
          <w:sz w:val="24"/>
          <w:szCs w:val="24"/>
          <w:lang w:val="en-US" w:eastAsia="en-US"/>
        </w:rPr>
        <w:t>2026-25073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установлено, что обжалуемое извещение опубликовано Заказчиком после вступления в силу Постановления </w:t>
      </w:r>
      <w:r>
        <w:rPr>
          <w:rStyle w:val="CharStyle10"/>
          <w:lang w:val="en-US" w:eastAsia="en-US"/>
        </w:rPr>
        <w:t>№1875.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Комиссия Управления приходит к выводу, что Постановление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 xml:space="preserve">утратило силу и положения Постановления </w:t>
      </w:r>
      <w:r>
        <w:rPr>
          <w:rStyle w:val="CharStyle10"/>
          <w:lang w:val="en-US" w:eastAsia="en-US"/>
        </w:rPr>
        <w:t xml:space="preserve">№2014 </w:t>
      </w:r>
      <w:r>
        <w:rPr>
          <w:rStyle w:val="CharStyle10"/>
        </w:rPr>
        <w:t>не могут быть применены в отношении данной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Одновременно с этим Комиссия Управления отмечает.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ч.6 ст.14 Закона о контрактной системе по итогам года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 оказываемых российскими лицами, не подлежит размещению в единой информационной системе, заказчик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 товаров российского происхождения, работ, услуг, соответственно выполняемых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марта года следующего за отчетным годом.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 исходя из буквального толкования положений ч.6, </w:t>
      </w:r>
      <w:r>
        <w:rPr>
          <w:rStyle w:val="CharStyle10"/>
          <w:lang w:val="en-US" w:eastAsia="en-US"/>
        </w:rPr>
        <w:t xml:space="preserve">7 </w:t>
      </w:r>
      <w:r>
        <w:rPr>
          <w:rStyle w:val="CharStyle10"/>
        </w:rPr>
        <w:t>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Кроме того, п.9 Постановления </w:t>
      </w:r>
      <w:r>
        <w:rPr>
          <w:rStyle w:val="CharStyle10"/>
          <w:lang w:val="en-US" w:eastAsia="en-US"/>
        </w:rPr>
        <w:t xml:space="preserve">№1875 </w:t>
      </w:r>
      <w:r>
        <w:rPr>
          <w:rStyle w:val="CharStyle10"/>
        </w:rPr>
        <w:t>определено, что Министерство финансов Российской Федерации является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соответственно выполняемых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учитывая,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происхождения, работ, услуг, соответственно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выполняемых, оказываемых российскими гражданами, российскими юридическими лицами, и оценку результатов осуществления в отчетном году таких закупок, в связи с чем рассмотрение данного довода жалобы в отношении нарушения Заказчиком указанного постановления не может быть осуществлено.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предусмотренный Постановлением Правительства РФ от </w:t>
      </w:r>
      <w:r>
        <w:rPr>
          <w:rStyle w:val="CharStyle10"/>
          <w:lang w:val="en-US" w:eastAsia="en-US"/>
        </w:rPr>
        <w:t xml:space="preserve">16.11.2015 №1236 </w:t>
      </w:r>
      <w:r>
        <w:rPr>
          <w:rStyle w:val="CharStyle10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>№1236).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10"/>
          <w:lang w:val="en-US" w:eastAsia="en-US"/>
        </w:rPr>
        <w:t>№1236.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п.2 Постановлением </w:t>
      </w:r>
      <w:r>
        <w:rPr>
          <w:rStyle w:val="CharStyle10"/>
          <w:lang w:val="en-US" w:eastAsia="en-US"/>
        </w:rPr>
        <w:t xml:space="preserve">№1236, </w:t>
      </w:r>
      <w:r>
        <w:rPr>
          <w:rStyle w:val="CharStyle10"/>
        </w:rPr>
        <w:t xml:space="preserve">в редакции от </w:t>
      </w:r>
      <w:r>
        <w:rPr>
          <w:rStyle w:val="CharStyle10"/>
          <w:lang w:val="en-US" w:eastAsia="en-US"/>
        </w:rPr>
        <w:t xml:space="preserve">20.12.2017 </w:t>
      </w:r>
      <w:r>
        <w:rPr>
          <w:rStyle w:val="CharStyle10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января </w:t>
      </w:r>
      <w:r>
        <w:rPr>
          <w:rStyle w:val="CharStyle10"/>
          <w:lang w:val="en-US" w:eastAsia="en-US"/>
        </w:rPr>
        <w:t xml:space="preserve">2025 </w:t>
      </w:r>
      <w:r>
        <w:rPr>
          <w:rStyle w:val="CharStyle10"/>
        </w:rPr>
        <w:t>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При этом, как установлено Комиссией Управления, извещение об осуществлении закупки опубликовано Заказчиком после вступления в силу Постановления </w:t>
      </w:r>
      <w:r>
        <w:rPr>
          <w:rStyle w:val="CharStyle10"/>
          <w:lang w:val="en-US" w:eastAsia="en-US"/>
        </w:rPr>
        <w:t xml:space="preserve">№1875, </w:t>
      </w:r>
      <w:r>
        <w:rPr>
          <w:rStyle w:val="CharStyle10"/>
        </w:rPr>
        <w:t xml:space="preserve">в связи с чем довод Заявителя, на предмет нарушения требований Постановления </w:t>
      </w:r>
      <w:r>
        <w:rPr>
          <w:rStyle w:val="CharStyle10"/>
          <w:lang w:val="en-US" w:eastAsia="en-US"/>
        </w:rPr>
        <w:t xml:space="preserve">№1236, </w:t>
      </w:r>
      <w:r>
        <w:rPr>
          <w:rStyle w:val="CharStyle10"/>
        </w:rPr>
        <w:t>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установленные Заказчиком требования к характеристикам необходимого к поставке изделия «Секвенатор» ограничивают круг участников закупки, поскольку совокупности установленных требований соответствует товар единственного производителя ООО «Сесана».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этом ограничивающими требованиями к товару являются следующие требования: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«Генерация молекулярных кластеров на проточной ячейке и секвенирование в рамках одного прибора в полностью автоматическом режиме: соответствие»;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«В качестве субстрата для анализа используются ДНК-кластеры, полученные из одноцепочечных макромолекул путем мостиковой амплификации на поверхности проточной ячейки: соответствие»;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«Максимальная длина считываемого фрагмента ДНК при чтении с одного конца, нуклеотидов: </w:t>
      </w:r>
      <w:r>
        <w:rPr>
          <w:rStyle w:val="CharStyle10"/>
          <w:lang w:val="en-US" w:eastAsia="en-US"/>
        </w:rPr>
        <w:t>≥ 200»;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2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«Функция автоматической мойки внутренних магистралей по окончании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запуска: соответствие».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Заказчиком представлены пояснения, что требования к закупаемому изделию установлены в соответствии с потребностью учреждения, при этом, вопреки доводам жалобы, совокупности требований извещения, помимо изделий производства ООО «Сесана», также соответствует изделие «Секвенатор нуклеиновых кислот </w:t>
      </w:r>
      <w:r>
        <w:rPr>
          <w:rStyle w:val="CharStyle10"/>
          <w:lang w:val="en-US" w:eastAsia="en-US"/>
        </w:rPr>
        <w:t xml:space="preserve">NextSeqТМ 550Dx, </w:t>
      </w:r>
      <w:r>
        <w:rPr>
          <w:rStyle w:val="CharStyle10"/>
        </w:rPr>
        <w:t xml:space="preserve">методом секвенирования нового поколения </w:t>
      </w:r>
      <w:r>
        <w:rPr>
          <w:rStyle w:val="CharStyle10"/>
          <w:lang w:val="en-US" w:eastAsia="en-US"/>
        </w:rPr>
        <w:t xml:space="preserve">(NGS)», </w:t>
      </w:r>
      <w:r>
        <w:rPr>
          <w:rStyle w:val="CharStyle10"/>
        </w:rPr>
        <w:t xml:space="preserve">производства компании «Иллюмина, Инк.» (регистрационное удостоверение №РЗН </w:t>
      </w:r>
      <w:r>
        <w:rPr>
          <w:rStyle w:val="CharStyle10"/>
          <w:lang w:val="en-US" w:eastAsia="en-US"/>
        </w:rPr>
        <w:t xml:space="preserve">2021/13216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>12.12.2022).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этим в составе жалобы Заявителем не представлено документов и сведений, подтверждающих доводы жалобы в частности не представлено документов и сведений указывающих на несоответствие вышеуказанного оборудования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Иного на заседании Комиссии Управления не выявлено.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структурированная форма извещения сформирована Заказчиком в нарушение положений Закона о контрактной системе, так как в составе извещения в отдельном файле отсутствует описание объекта закупки, в четком соответствии с описанием объекта закупки отраженном в структурированной форме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этим Комиссией Управления установлено, что в составе жалобы, а также на заседании Комиссии Управления Заявителем, не указаны положения извещения, описания объекта закупки,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в извещении не указаны контактные данные лица Заказчика, являющегося конечным получателем изделия, при этом, по мнению Заявителя, в извещении подлежат указанию контактные данные лица, являющегося конечным получателем изделий.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860" w:right="543" w:bottom="1263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Согласно п.1 ч.1 ст.42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Комиссией Управления установлено, что в составе извещения Заказчиком размещена информация, предусмотренная п.1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3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Наряду с этим в составе жалобы Заявитель указывает, что в извещении в том числе, в проекте контракта, не содержится сведений о сроке действия и окончания контракта, а извещение об осуществлении закупки размещено в нарушение ч.3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Более того, в жалобе Заявитель обжалует действия Заказчика в использовании сторонних программных продуктов, помимо ЕИС, для взаимодействия Заказчика при исполнении контракта.</w:t>
      </w:r>
    </w:p>
    <w:p>
      <w:pPr>
        <w:pStyle w:val="Style9"/>
        <w:keepNext w:val="0"/>
        <w:keepLines w:val="0"/>
        <w:widowControl w:val="0"/>
        <w:numPr>
          <w:ilvl w:val="1"/>
          <w:numId w:val="17"/>
        </w:numPr>
        <w:shd w:val="clear" w:color="auto" w:fill="auto"/>
        <w:tabs>
          <w:tab w:pos="13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ст.34 Закона о контрактной системе предусмотрено,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п.21 ч.1 ст.42 Закона о контрактной системе извещение об осуществлении закупки должно содержать дата и время окончания срока подачи заявок на участие в закупке. Такая дата не может приходиться на нерабочий день.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силу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основании ч.3 ст.42 Закона о контрактной системе извещение об осуществлении закупки размещается при проведении: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3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электронного конкурса не менее чем за пятнадцать дней до даты окончания срока подачи заявок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393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889" w:right="545" w:bottom="678" w:left="1101" w:header="0" w:footer="250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электронного аукциона не менее чем за пятнадцать дней до даты окончания срока подачи заявок на участие в закупке, за исключением случаев, если начальная (максимальная) цена контракта не превышает триста миллионов рублей либо начальная (максимальная) цена контракта на выполнение работ по </w:t>
      </w:r>
      <w:r>
        <w:rPr>
          <w:rStyle w:val="CharStyle10"/>
          <w:sz w:val="24"/>
          <w:szCs w:val="24"/>
          <w:lang w:val="en-US" w:eastAsia="en-US"/>
        </w:rPr>
        <w:t>2026-25073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строительству, реконструкции, капитальному ремонту, сносу объекта капитального строительства не превышает два миллиарда рублей, при которых такое извещение размещается не менее чем за семь дней до даты окончания срока подачи заявок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электронного запроса котировок не менее чем за четыре рабочих дня до даты окончания срока подачи заявок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установлено, что в составе извещения Заказчиком размещены сведения о дате начала исполнения контракта, сроке исполнения контракта. Также Комиссией Управления установлено, что извещение размещено Заказчиком в соответствии с требованиями ч.3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Относительно указанного довода жалобы представитель Заказчика отметил, что извещение сформировано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Все взаимодействие Заказчика и исполнителя будет осуществляться в ЕИС. Вместе с этим в составе жалобы Заявителем не указано документов и сведений, свидетельствующих о нарушении в действиях Заказчика Закона о контрактной системе, а также указаний на конкретные положения проекта государственного контракта противоречащие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Исходя из вышеизложенного, в отсутствие доказательств обратного Комиссия Управления приходит к выводу, что Заказчик действовал правомерно при формировании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также приходит к выводу, что довод жалобы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ходатайствует о направлении жалобы в органы финансового контроля, Министерство здравоохранения Российской Федерации для рассмотрения доводов жалобы, относящихся к компетенции данных органов, в частности проведения проверки обоснования начальной (максимальной) цены контракта и исполнения положений Постановления </w:t>
      </w:r>
      <w:r>
        <w:rPr>
          <w:rStyle w:val="CharStyle10"/>
          <w:lang w:val="en-US" w:eastAsia="en-US"/>
        </w:rPr>
        <w:t>№2014.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Комиссия Управления отмечает, что жалоба Заявителя не перенаправлялась в органы финансового контроля, Министерство здравоохранения Российской Федерации, так как была принята к рассмотрению Московским УФАС России в рамках главы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>Закона о контрактной системе, доводы, относящихся к компетенции органов финансового контроля, Министерства промышленности и торговли Российской Федерации, оставлены Комиссией Управления без рассмотрения, ввиду чего Заявитель вправе самостоятельно подать жалобу в соответствующие органы.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Комиссия Управления отмечает, что направление жалобы по ведомственной принадлежности осуществляется в рамках предварительного рассмотрения жалобы, при этом в рамках предварительного рассмотрения данной жалобы установлено, что жалоба подлежит рассмотрению Комиссией Управления, в рамках большей части доводов, ввиду чего не может быть перенаправлена по ведомственной принадлежности для рассмотрения в иные органы государственного контроля.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Комиссией Управления принято решение об отказе в удовлетворении вышеуказанного ходатайства.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379" w:val="left"/>
          <w:tab w:pos="433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Признать жалобу</w:t>
        <w:tab/>
        <w:t>ИП Кравченко А.В. на действия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0"/>
        </w:rPr>
        <w:t>ФГБУ «НМИЦК им. ак. Е.И. Чазова» Минздрава России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37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>Снять ограничения, наложенные на определение поставщика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0" w:right="0" w:firstLine="0"/>
        <w:jc w:val="both"/>
      </w:pPr>
      <w:r>
        <w:rPr>
          <w:rStyle w:val="CharStyle10"/>
        </w:rPr>
        <w:t>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889" w:right="536" w:bottom="135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77695" cy="25273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7.950000000000003pt;margin-top:26.pt;width:147.84999999999999pt;height:19.900000000000002pt;z-index:-125829375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0" distL="0" distR="0" simplePos="0" relativeHeight="125829380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491490</wp:posOffset>
                </wp:positionV>
                <wp:extent cx="1725295" cy="25908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30000000000001pt;margin-top:38.700000000000003pt;width:135.84999999999999pt;height:20.400000000000002pt;z-index:-125829373;mso-wrap-distance-left:0;mso-wrap-distance-top:38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2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330200</wp:posOffset>
                </wp:positionV>
                <wp:extent cx="1136650" cy="25273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78.65000000000003pt;margin-top:26.pt;width:89.5pt;height:19.900000000000002pt;z-index:-125829371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3134995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35000000000002pt;margin-top:11.800000000000001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2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3134995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7.55000000000001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А.С. Гелмутдинова</w:t>
      </w:r>
    </w:p>
    <w:p>
      <w:pPr>
        <w:pStyle w:val="Style1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4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340"/>
        <w:ind w:right="0" w:firstLine="0"/>
        <w:jc w:val="left"/>
      </w:pPr>
      <w:r>
        <w:rPr>
          <w:rStyle w:val="CharStyle19"/>
        </w:rPr>
        <w:t xml:space="preserve">Действителен с 09.02.2026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05.05.2027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Матюшенко А.А., 8(495) 784-75-0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89" w:right="532" w:bottom="9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899999999999999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pt;margin-top:794.70000000000005pt;width:56.899999999999999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pt;margin-top:794.70000000000005pt;width:56.899999999999999pt;height:8.1500000000000004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2026-25073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7.pt;margin-top:794.70000000000005pt;width:56.899999999999999pt;height:8.1500000000000004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2026-25073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270510</wp:posOffset>
              </wp:positionV>
              <wp:extent cx="14605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0000000000002pt;margin-top:21.300000000000001pt;width:11.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299085</wp:posOffset>
              </wp:positionV>
              <wp:extent cx="143510" cy="12509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6.35000000000002pt;margin-top:23.550000000000001pt;width:11.300000000000001pt;height:9.8499999999999996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270510</wp:posOffset>
              </wp:positionV>
              <wp:extent cx="146050" cy="10668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10000000000002pt;margin-top:21.300000000000001pt;width:11.5pt;height:8.40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299085</wp:posOffset>
              </wp:positionV>
              <wp:extent cx="143510" cy="12509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6.35000000000002pt;margin-top:23.550000000000001pt;width:11.300000000000001pt;height:9.8499999999999996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270510</wp:posOffset>
              </wp:positionV>
              <wp:extent cx="146050" cy="10668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6.10000000000002pt;margin-top:21.300000000000001pt;width:11.5pt;height:8.40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299085</wp:posOffset>
              </wp:positionV>
              <wp:extent cx="143510" cy="12509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306.35000000000002pt;margin-top:23.550000000000001pt;width:11.300000000000001pt;height:9.8499999999999996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270510</wp:posOffset>
              </wp:positionV>
              <wp:extent cx="146050" cy="10668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306.10000000000002pt;margin-top:21.300000000000001pt;width:11.5pt;height:8.4000000000000004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 (4)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image" Target="media/image3.jpeg"/><Relationship Id="rId26" Type="http://schemas.openxmlformats.org/officeDocument/2006/relationships/image" Target="media/image3.jpeg" TargetMode="External"/><Relationship Id="rId27" Type="http://schemas.openxmlformats.org/officeDocument/2006/relationships/image" Target="media/image4.jpeg"/><Relationship Id="rId28" Type="http://schemas.openxmlformats.org/officeDocument/2006/relationships/image" Target="media/image4.jpeg" TargetMode="External"/></Relationships>
</file>