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line="254" w:lineRule="auto"/>
        <w:ind w:left="0" w:right="0" w:firstLine="0"/>
        <w:jc w:val="center"/>
      </w:pPr>
      <w:r>
        <w:rPr>
          <w:rStyle w:val="CharStyle9"/>
          <w:b/>
          <w:bCs/>
        </w:rPr>
        <w:t>Федеральной антимонопольной службы</w:t>
        <w:br/>
        <w:t>по Астраханской области</w:t>
      </w:r>
    </w:p>
    <w:p>
      <w:pPr>
        <w:pStyle w:val="Style5"/>
        <w:keepNext w:val="0"/>
        <w:keepLines w:val="0"/>
        <w:widowControl w:val="0"/>
        <w:shd w:val="clear" w:color="auto" w:fill="auto"/>
        <w:bidi w:val="0"/>
        <w:spacing w:before="0" w:after="0"/>
        <w:ind w:left="0" w:right="0" w:firstLine="0"/>
        <w:jc w:val="center"/>
      </w:pPr>
      <w:r>
        <w:rPr>
          <w:rStyle w:val="CharStyle6"/>
        </w:rPr>
        <w:t>ул. Шаумяна, 47, г. Астрахань, 414000, а/я 267</w:t>
        <w:br/>
        <w:t>тел./факс (8512) 39-05-80</w:t>
      </w:r>
    </w:p>
    <w:p>
      <w:pPr>
        <w:pStyle w:val="Style5"/>
        <w:keepNext w:val="0"/>
        <w:keepLines w:val="0"/>
        <w:widowControl w:val="0"/>
        <w:shd w:val="clear" w:color="auto" w:fill="auto"/>
        <w:bidi w:val="0"/>
        <w:spacing w:before="0" w:after="380"/>
        <w:ind w:left="0" w:right="0" w:firstLine="0"/>
        <w:jc w:val="center"/>
      </w:pPr>
      <w:r>
        <w:rPr>
          <w:rStyle w:val="CharStyle6"/>
          <w:lang w:val="en-US" w:eastAsia="en-US"/>
        </w:rPr>
        <w:t xml:space="preserve">e-mail: </w:t>
      </w:r>
      <w:r>
        <w:fldChar w:fldCharType="begin"/>
      </w:r>
      <w:r>
        <w:rPr/>
        <w:instrText> HYPERLINK "mailto:to30@fas.gov.ru" </w:instrText>
      </w:r>
      <w:r>
        <w:fldChar w:fldCharType="separate"/>
      </w:r>
      <w:r>
        <w:rPr>
          <w:rStyle w:val="CharStyle6"/>
          <w:lang w:val="en-US" w:eastAsia="en-US"/>
        </w:rPr>
        <w:t>to30@fas.gov.ru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after="240" w:line="276" w:lineRule="auto"/>
        <w:ind w:left="0" w:right="0" w:firstLine="0"/>
        <w:jc w:val="center"/>
        <w:rPr>
          <w:sz w:val="18"/>
          <w:szCs w:val="18"/>
        </w:rPr>
      </w:pPr>
      <w:r>
        <w:rPr>
          <w:rStyle w:val="CharStyle9"/>
          <w:sz w:val="18"/>
          <w:szCs w:val="18"/>
        </w:rPr>
        <w:tab/>
        <w:t xml:space="preserve"> №</w:t>
        <w:tab/>
      </w:r>
    </w:p>
    <w:p>
      <w:pPr>
        <w:pStyle w:val="Style8"/>
        <w:keepNext w:val="0"/>
        <w:keepLines w:val="0"/>
        <w:widowControl w:val="0"/>
        <w:shd w:val="clear" w:color="auto" w:fill="auto"/>
        <w:bidi w:val="0"/>
        <w:spacing w:before="0" w:after="0" w:line="276" w:lineRule="auto"/>
        <w:ind w:left="0" w:right="0" w:firstLine="0"/>
        <w:jc w:val="center"/>
        <w:rPr>
          <w:sz w:val="18"/>
          <w:szCs w:val="18"/>
        </w:rPr>
      </w:pPr>
      <w:r>
        <w:rPr>
          <w:rStyle w:val="CharStyle9"/>
          <w:sz w:val="18"/>
          <w:szCs w:val="18"/>
        </w:rPr>
        <w:t xml:space="preserve">На №  от</w:t>
      </w:r>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ИП Кравченко А.В. </w:t>
      </w:r>
      <w:r>
        <w:fldChar w:fldCharType="begin"/>
      </w:r>
      <w:r>
        <w:rPr/>
        <w:instrText> HYPERLINK "mailto:info@gosfarm.ru" </w:instrText>
      </w:r>
      <w:r>
        <w:fldChar w:fldCharType="separate"/>
      </w:r>
      <w:r>
        <w:rPr>
          <w:rStyle w:val="CharStyle12"/>
          <w:lang w:val="en-US" w:eastAsia="en-US"/>
        </w:rPr>
        <w:t>info@gosfarm.ru</w:t>
      </w:r>
      <w:r>
        <w:fldChar w:fldCharType="end"/>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795" w:bottom="1217" w:left="1135" w:header="0" w:footer="3" w:gutter="0"/>
          <w:pgNumType w:start="1"/>
          <w:cols w:num="2" w:space="720" w:equalWidth="0">
            <w:col w:w="4066" w:space="1205"/>
            <w:col w:w="4699"/>
          </w:cols>
          <w:noEndnote/>
          <w:titlePg/>
          <w:rtlGutter w:val="0"/>
          <w:docGrid w:linePitch="360"/>
        </w:sectPr>
      </w:pPr>
      <w:r>
        <w:rPr>
          <w:rStyle w:val="CharStyle12"/>
        </w:rPr>
        <w:t>ГКУ АО «Управление по материально</w:t>
        <w:softHyphen/>
        <w:t xml:space="preserve">техническому обслуживанию медицинских организаций» </w:t>
      </w:r>
      <w:r>
        <w:fldChar w:fldCharType="begin"/>
      </w:r>
      <w:r>
        <w:rPr/>
        <w:instrText> HYPERLINK "mailto:ezolina@astrobl.ru" </w:instrText>
      </w:r>
      <w:r>
        <w:fldChar w:fldCharType="separate"/>
      </w:r>
      <w:r>
        <w:rPr>
          <w:rStyle w:val="CharStyle12"/>
          <w:lang w:val="en-US" w:eastAsia="en-US"/>
        </w:rPr>
        <w:t>ezolina@astrobl.ru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17" w:left="0" w:header="0" w:footer="3" w:gutter="0"/>
          <w:cols w:space="720"/>
          <w:noEndnote/>
          <w:rtlGutter w:val="0"/>
          <w:docGrid w:linePitch="360"/>
        </w:sectPr>
      </w:pPr>
    </w:p>
    <w:p>
      <w:pPr>
        <w:pStyle w:val="Style14"/>
        <w:keepNext/>
        <w:keepLines/>
        <w:widowControl w:val="0"/>
        <w:shd w:val="clear" w:color="auto" w:fill="auto"/>
        <w:bidi w:val="0"/>
        <w:spacing w:before="0" w:after="80" w:line="240" w:lineRule="auto"/>
        <w:ind w:left="0" w:right="0" w:firstLine="0"/>
        <w:jc w:val="center"/>
      </w:pPr>
      <w:bookmarkStart w:id="0" w:name="bookmark0"/>
      <w:r>
        <w:rPr>
          <w:rStyle w:val="CharStyle15"/>
          <w:b/>
          <w:bCs/>
        </w:rPr>
        <w:t>РЕШЕНИЕ №030/06/105-492/2026</w:t>
      </w:r>
      <w:bookmarkEnd w:id="0"/>
    </w:p>
    <w:p>
      <w:pPr>
        <w:pStyle w:val="Style14"/>
        <w:keepNext/>
        <w:keepLines/>
        <w:widowControl w:val="0"/>
        <w:shd w:val="clear" w:color="auto" w:fill="auto"/>
        <w:bidi w:val="0"/>
        <w:spacing w:before="0" w:line="240" w:lineRule="auto"/>
        <w:ind w:left="0" w:right="0" w:firstLine="0"/>
        <w:jc w:val="center"/>
      </w:pPr>
      <w:r>
        <w:rPr>
          <w:rStyle w:val="CharStyle15"/>
          <w:b/>
          <w:bCs/>
        </w:rPr>
        <w:t>по делу о нарушении законодательства о контрактной системе</w:t>
      </w:r>
    </w:p>
    <w:p>
      <w:pPr>
        <w:pStyle w:val="Style14"/>
        <w:keepNext/>
        <w:keepLines/>
        <w:widowControl w:val="0"/>
        <w:shd w:val="clear" w:color="auto" w:fill="auto"/>
        <w:bidi w:val="0"/>
        <w:spacing w:before="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6161405</wp:posOffset>
                </wp:positionH>
                <wp:positionV relativeFrom="paragraph">
                  <wp:posOffset>12700</wp:posOffset>
                </wp:positionV>
                <wp:extent cx="1027430" cy="259080"/>
                <wp:wrapSquare wrapText="left"/>
                <wp:docPr id="6" name="Shape 6"/>
                <a:graphic xmlns:a="http://schemas.openxmlformats.org/drawingml/2006/main">
                  <a:graphicData uri="http://schemas.microsoft.com/office/word/2010/wordprocessingShape">
                    <wps:wsp>
                      <wps:cNvSpPr txBox="1"/>
                      <wps:spPr>
                        <a:xfrm>
                          <a:ext cx="102743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rStyle w:val="CharStyle12"/>
                                <w:b/>
                                <w:bCs/>
                              </w:rPr>
                              <w:t>г. Астрахань</w:t>
                            </w:r>
                          </w:p>
                        </w:txbxContent>
                      </wps:txbx>
                      <wps:bodyPr wrap="none" lIns="0" tIns="0" rIns="0" bIns="0">
                        <a:noAutoFit/>
                      </wps:bodyPr>
                    </wps:wsp>
                  </a:graphicData>
                </a:graphic>
              </wp:anchor>
            </w:drawing>
          </mc:Choice>
          <mc:Fallback>
            <w:pict>
              <v:shape id="_x0000_s1032" type="#_x0000_t202" style="position:absolute;margin-left:485.15000000000003pt;margin-top:1.pt;width:80.900000000000006pt;height:20.400000000000002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rStyle w:val="CharStyle12"/>
                          <w:b/>
                          <w:bCs/>
                        </w:rPr>
                        <w:t>г. Астрахань</w:t>
                      </w:r>
                    </w:p>
                  </w:txbxContent>
                </v:textbox>
                <w10:wrap type="square" side="left" anchorx="page"/>
              </v:shape>
            </w:pict>
          </mc:Fallback>
        </mc:AlternateContent>
      </w:r>
      <w:bookmarkStart w:id="3" w:name="bookmark3"/>
      <w:r>
        <w:rPr>
          <w:rStyle w:val="CharStyle15"/>
          <w:b/>
          <w:bCs/>
        </w:rPr>
        <w:t>15 мая 2026 г</w:t>
      </w:r>
      <w:bookmarkEnd w:id="3"/>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по контролю в сфере закупок на территории Астраханской области, утвержденная приказом руководителя Управления Федеральной антимонопольной службы по Астраханской области (далее – Комиссия), в составе:</w:t>
      </w:r>
    </w:p>
    <w:p>
      <w:pPr>
        <w:pStyle w:val="Style11"/>
        <w:keepNext w:val="0"/>
        <w:keepLines w:val="0"/>
        <w:widowControl w:val="0"/>
        <w:shd w:val="clear" w:color="auto" w:fill="auto"/>
        <w:bidi w:val="0"/>
        <w:spacing w:before="0" w:after="0" w:line="240" w:lineRule="auto"/>
        <w:ind w:left="0" w:right="0" w:firstLine="660"/>
        <w:jc w:val="both"/>
      </w:pPr>
      <w:r>
        <w:rPr>
          <w:rStyle w:val="CharStyle12"/>
          <w:b/>
          <w:bCs/>
        </w:rPr>
        <w:t>председателя Комиссии:</w:t>
      </w:r>
    </w:p>
    <w:p>
      <w:pPr>
        <w:pStyle w:val="Style11"/>
        <w:keepNext w:val="0"/>
        <w:keepLines w:val="0"/>
        <w:widowControl w:val="0"/>
        <w:shd w:val="clear" w:color="auto" w:fill="auto"/>
        <w:bidi w:val="0"/>
        <w:spacing w:before="0" w:after="0" w:line="240" w:lineRule="auto"/>
        <w:ind w:left="0" w:right="0" w:firstLine="840"/>
        <w:jc w:val="both"/>
      </w:pPr>
      <w:r>
        <w:rPr>
          <w:rStyle w:val="CharStyle12"/>
        </w:rPr>
        <w:t>Русскиной И.В. – главного специалиста-эксперта отдела контроля в сфере закупок и антимонопольного контроля органов власти Управления Федеральной антимонопольной службы по Астраханской области (далее - Астраханское УФАС России, Управление);</w:t>
      </w:r>
    </w:p>
    <w:p>
      <w:pPr>
        <w:pStyle w:val="Style11"/>
        <w:keepNext w:val="0"/>
        <w:keepLines w:val="0"/>
        <w:widowControl w:val="0"/>
        <w:shd w:val="clear" w:color="auto" w:fill="auto"/>
        <w:bidi w:val="0"/>
        <w:spacing w:before="0" w:after="0" w:line="240" w:lineRule="auto"/>
        <w:ind w:left="0" w:right="0" w:firstLine="660"/>
        <w:jc w:val="both"/>
      </w:pPr>
      <w:r>
        <w:rPr>
          <w:rStyle w:val="CharStyle12"/>
          <w:b/>
          <w:bCs/>
        </w:rPr>
        <w:t>членов Комиссии:</w:t>
      </w:r>
    </w:p>
    <w:p>
      <w:pPr>
        <w:pStyle w:val="Style11"/>
        <w:keepNext w:val="0"/>
        <w:keepLines w:val="0"/>
        <w:widowControl w:val="0"/>
        <w:shd w:val="clear" w:color="auto" w:fill="auto"/>
        <w:bidi w:val="0"/>
        <w:spacing w:before="0" w:after="0" w:line="240" w:lineRule="auto"/>
        <w:ind w:left="0" w:right="0" w:firstLine="600"/>
        <w:jc w:val="both"/>
      </w:pPr>
      <w:r>
        <w:rPr>
          <w:rStyle w:val="CharStyle12"/>
        </w:rPr>
        <w:t>Крупиной Е.М. – главного специалиста-эксперта отдела контроля в сфере закупок и антимонопольного контроля органов власти Управления;</w:t>
      </w:r>
    </w:p>
    <w:p>
      <w:pPr>
        <w:pStyle w:val="Style11"/>
        <w:keepNext w:val="0"/>
        <w:keepLines w:val="0"/>
        <w:widowControl w:val="0"/>
        <w:shd w:val="clear" w:color="auto" w:fill="auto"/>
        <w:bidi w:val="0"/>
        <w:spacing w:before="0" w:after="0" w:line="240" w:lineRule="auto"/>
        <w:ind w:left="0" w:right="0" w:firstLine="600"/>
        <w:jc w:val="both"/>
      </w:pPr>
      <w:r>
        <w:rPr>
          <w:rStyle w:val="CharStyle12"/>
        </w:rPr>
        <w:t>Миляевой В – ведущего специалиста-эксперта отдела контроля в сфере закупок и антимонопольного контроля органов власти Управления;</w:t>
      </w:r>
    </w:p>
    <w:p>
      <w:pPr>
        <w:pStyle w:val="Style11"/>
        <w:keepNext w:val="0"/>
        <w:keepLines w:val="0"/>
        <w:widowControl w:val="0"/>
        <w:shd w:val="clear" w:color="auto" w:fill="auto"/>
        <w:bidi w:val="0"/>
        <w:spacing w:before="0" w:after="360" w:line="240" w:lineRule="auto"/>
        <w:ind w:left="0" w:right="0" w:firstLine="600"/>
        <w:jc w:val="both"/>
      </w:pPr>
      <w:r>
        <w:rPr>
          <w:rStyle w:val="CharStyle12"/>
        </w:rPr>
        <w:t>в отсутствие заявителя индивидуального предпринимателя Кравченко А.В., в присутствии представителей государственного заказчика ГКУ АО «Управление по материально-техническому обслуживанию медицинских организаций» Золиной Е.А. (доверенность от 12.05.2026 №10), Тихонова А.В. (доверенность от 12.06.2026 №11), в присутствии представителей уполномоченного учреждения ГКУ АО «Региональный центр организации закупок» Даниловой Ю.Р. (доверенность от</w:t>
      </w:r>
    </w:p>
    <w:p>
      <w:pPr>
        <w:pStyle w:val="Style16"/>
        <w:keepNext/>
        <w:keepLines/>
        <w:widowControl w:val="0"/>
        <w:shd w:val="clear" w:color="auto" w:fill="auto"/>
        <w:bidi w:val="0"/>
        <w:spacing w:before="0" w:line="240" w:lineRule="auto"/>
        <w:ind w:left="0" w:right="0" w:firstLine="0"/>
        <w:jc w:val="left"/>
      </w:pPr>
      <w:bookmarkStart w:id="5" w:name="bookmark5"/>
      <w:r>
        <w:rPr>
          <w:rStyle w:val="CharStyle17"/>
        </w:rPr>
        <w:t>1IIIIIIIIIIIIIIIIIIIIIII</w:t>
      </w:r>
      <w:bookmarkEnd w:id="5"/>
    </w:p>
    <w:p>
      <w:pPr>
        <w:pStyle w:val="Style11"/>
        <w:keepNext w:val="0"/>
        <w:keepLines w:val="0"/>
        <w:widowControl w:val="0"/>
        <w:shd w:val="clear" w:color="auto" w:fill="auto"/>
        <w:tabs>
          <w:tab w:pos="2290" w:val="left"/>
        </w:tabs>
        <w:bidi w:val="0"/>
        <w:spacing w:before="0" w:after="0" w:line="240" w:lineRule="auto"/>
        <w:ind w:left="0" w:right="0" w:firstLine="0"/>
        <w:jc w:val="both"/>
      </w:pPr>
      <w:r>
        <w:rPr>
          <w:rStyle w:val="CharStyle12"/>
          <w:lang w:val="en-US" w:eastAsia="en-US"/>
        </w:rPr>
        <w:t xml:space="preserve">26.05.2025 №01-06-7), </w:t>
      </w:r>
      <w:r>
        <w:rPr>
          <w:rStyle w:val="CharStyle12"/>
        </w:rPr>
        <w:t xml:space="preserve">Миробдаловой Н.Р. (доверенность от </w:t>
      </w:r>
      <w:r>
        <w:rPr>
          <w:rStyle w:val="CharStyle12"/>
          <w:lang w:val="en-US" w:eastAsia="en-US"/>
        </w:rPr>
        <w:t xml:space="preserve">19.05.2025 №01-06-05), </w:t>
      </w:r>
      <w:r>
        <w:rPr>
          <w:rStyle w:val="CharStyle12"/>
        </w:rPr>
        <w:t>рассмотрев жалобу индивидуального предпринимателя Кравченко А.В. на действия государственного заказчика ГКУ АО «Управление по материально</w:t>
        <w:softHyphen/>
        <w:t>техническому обслуживанию медицинских организаций», уполномоченного учреждения ГКУ АО «Региональный центр организации закупок» при проведении электронного аукциона на право заключения контракта на поставку эндоскопических систем и эндоскопов для верхних и нижних отделов ЖКТ (номер извещения:</w:t>
        <w:tab/>
      </w:r>
      <w:r>
        <w:rPr>
          <w:rStyle w:val="CharStyle12"/>
          <w:lang w:val="en-US" w:eastAsia="en-US"/>
        </w:rPr>
        <w:t xml:space="preserve">0825500000726001161), </w:t>
      </w:r>
      <w:r>
        <w:rPr>
          <w:rStyle w:val="CharStyle12"/>
        </w:rPr>
        <w:t xml:space="preserve">руководствуясь статьями </w:t>
      </w:r>
      <w:r>
        <w:rPr>
          <w:rStyle w:val="CharStyle12"/>
          <w:lang w:val="en-US" w:eastAsia="en-US"/>
        </w:rPr>
        <w:t>99, 105-106</w:t>
      </w:r>
    </w:p>
    <w:p>
      <w:pPr>
        <w:pStyle w:val="Style11"/>
        <w:keepNext w:val="0"/>
        <w:keepLines w:val="0"/>
        <w:widowControl w:val="0"/>
        <w:shd w:val="clear" w:color="auto" w:fill="auto"/>
        <w:bidi w:val="0"/>
        <w:spacing w:before="0" w:after="280" w:line="240" w:lineRule="auto"/>
        <w:ind w:left="0" w:right="0" w:firstLine="0"/>
        <w:jc w:val="both"/>
      </w:pPr>
      <w:r>
        <w:rPr>
          <w:rStyle w:val="CharStyle12"/>
        </w:rPr>
        <w:t xml:space="preserve">Федерального закона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Закон о контрактной системе, Закон </w:t>
      </w:r>
      <w:r>
        <w:rPr>
          <w:rStyle w:val="CharStyle12"/>
          <w:lang w:val="en-US" w:eastAsia="en-US"/>
        </w:rPr>
        <w:t xml:space="preserve">№ </w:t>
      </w:r>
      <w:r>
        <w:rPr>
          <w:rStyle w:val="CharStyle12"/>
        </w:rPr>
        <w:t>44-ФЗ)</w:t>
      </w:r>
    </w:p>
    <w:p>
      <w:pPr>
        <w:pStyle w:val="Style14"/>
        <w:keepNext/>
        <w:keepLines/>
        <w:widowControl w:val="0"/>
        <w:shd w:val="clear" w:color="auto" w:fill="auto"/>
        <w:bidi w:val="0"/>
        <w:spacing w:before="0" w:line="240" w:lineRule="auto"/>
        <w:ind w:left="0" w:right="0" w:firstLine="0"/>
        <w:jc w:val="center"/>
      </w:pPr>
      <w:bookmarkStart w:id="7" w:name="bookmark7"/>
      <w:r>
        <w:rPr>
          <w:rStyle w:val="CharStyle15"/>
          <w:b/>
          <w:bCs/>
        </w:rPr>
        <w:t>УСТАНОВИЛА:</w:t>
      </w:r>
      <w:bookmarkEnd w:id="7"/>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Астраханское УФАС России </w:t>
      </w:r>
      <w:r>
        <w:rPr>
          <w:rStyle w:val="CharStyle12"/>
          <w:lang w:val="en-US" w:eastAsia="en-US"/>
        </w:rPr>
        <w:t xml:space="preserve">08.05.2026 </w:t>
      </w:r>
      <w:r>
        <w:rPr>
          <w:rStyle w:val="CharStyle12"/>
        </w:rPr>
        <w:t xml:space="preserve">поступила жалоба индивидуального предпринимателя Кравченко А.В. (далее </w:t>
      </w:r>
      <w:r>
        <w:rPr>
          <w:rStyle w:val="CharStyle12"/>
          <w:lang w:val="en-US" w:eastAsia="en-US"/>
        </w:rPr>
        <w:t xml:space="preserve">— </w:t>
      </w:r>
      <w:r>
        <w:rPr>
          <w:rStyle w:val="CharStyle12"/>
        </w:rPr>
        <w:t xml:space="preserve">Заявитель) на действия государственного заказчика ГКУ АО «Управление по материально-техническому обслуживанию медицинских организаций», уполномоченного учреждения ГКУ АО «Региональный центр организации закупок»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контракта на поставку эндоскопических систем и эндоскопов для верхних и нижних отделов ЖКТ (номер извещения: </w:t>
      </w:r>
      <w:r>
        <w:rPr>
          <w:rStyle w:val="CharStyle12"/>
          <w:lang w:val="en-US" w:eastAsia="en-US"/>
        </w:rPr>
        <w:t xml:space="preserve">0825500000726001161) </w:t>
      </w:r>
      <w:r>
        <w:rPr>
          <w:rStyle w:val="CharStyle12"/>
        </w:rPr>
        <w:t xml:space="preserve">(далее </w:t>
      </w:r>
      <w:r>
        <w:rPr>
          <w:rStyle w:val="CharStyle12"/>
          <w:lang w:val="en-US" w:eastAsia="en-US"/>
        </w:rPr>
        <w:t xml:space="preserve">— </w:t>
      </w:r>
      <w:r>
        <w:rPr>
          <w:rStyle w:val="CharStyle12"/>
        </w:rPr>
        <w:t>электронный аукцион).</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По мнению Заявителя, извещение о проведении электронного аукциона не соответствует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Рассмотрение жалобы было назначено на </w:t>
      </w:r>
      <w:r>
        <w:rPr>
          <w:rStyle w:val="CharStyle12"/>
          <w:lang w:val="en-US" w:eastAsia="en-US"/>
        </w:rPr>
        <w:t xml:space="preserve">15.05.2026 </w:t>
      </w:r>
      <w:r>
        <w:rPr>
          <w:rStyle w:val="CharStyle12"/>
        </w:rPr>
        <w:t xml:space="preserve">на </w:t>
      </w:r>
      <w:r>
        <w:rPr>
          <w:rStyle w:val="CharStyle12"/>
          <w:lang w:val="en-US" w:eastAsia="en-US"/>
        </w:rPr>
        <w:t xml:space="preserve">10 </w:t>
      </w:r>
      <w:r>
        <w:rPr>
          <w:rStyle w:val="CharStyle12"/>
        </w:rPr>
        <w:t xml:space="preserve">час.00 мин. по местному времени контролирующего органа в Управлении по адресу: г. Астрахань, ул. Шаумяна, </w:t>
      </w:r>
      <w:r>
        <w:rPr>
          <w:rStyle w:val="CharStyle12"/>
          <w:lang w:val="en-US" w:eastAsia="en-US"/>
        </w:rPr>
        <w:t xml:space="preserve">47, </w:t>
      </w:r>
      <w:r>
        <w:rPr>
          <w:rStyle w:val="CharStyle12"/>
        </w:rPr>
        <w:t xml:space="preserve">ком. </w:t>
      </w:r>
      <w:r>
        <w:rPr>
          <w:rStyle w:val="CharStyle12"/>
          <w:lang w:val="en-US" w:eastAsia="en-US"/>
        </w:rPr>
        <w:t>№505.</w:t>
      </w:r>
    </w:p>
    <w:p>
      <w:pPr>
        <w:pStyle w:val="Style11"/>
        <w:keepNext w:val="0"/>
        <w:keepLines w:val="0"/>
        <w:widowControl w:val="0"/>
        <w:shd w:val="clear" w:color="auto" w:fill="auto"/>
        <w:bidi w:val="0"/>
        <w:spacing w:before="0" w:after="280" w:line="240" w:lineRule="auto"/>
        <w:ind w:left="0" w:right="0" w:firstLine="740"/>
        <w:jc w:val="both"/>
      </w:pPr>
      <w:r>
        <w:rPr>
          <w:rStyle w:val="CharStyle12"/>
        </w:rPr>
        <w:t>Представители Заказчика приняли личное участие в рассмотрении жалобы, Заявитель свое участие в заседании не обеспечил.</w:t>
      </w:r>
    </w:p>
    <w:p>
      <w:pPr>
        <w:pStyle w:val="Style11"/>
        <w:keepNext w:val="0"/>
        <w:keepLines w:val="0"/>
        <w:widowControl w:val="0"/>
        <w:shd w:val="clear" w:color="auto" w:fill="auto"/>
        <w:bidi w:val="0"/>
        <w:spacing w:before="0" w:after="0" w:line="240" w:lineRule="auto"/>
        <w:ind w:left="0" w:right="0" w:firstLine="960"/>
        <w:jc w:val="both"/>
      </w:pPr>
      <w:r>
        <w:rPr>
          <w:rStyle w:val="CharStyle12"/>
        </w:rPr>
        <w:t>По результатам рассмотрения жалобы и проведения внеплановой проверки установлено следующее.</w:t>
      </w:r>
    </w:p>
    <w:p>
      <w:pPr>
        <w:pStyle w:val="Style11"/>
        <w:keepNext w:val="0"/>
        <w:keepLines w:val="0"/>
        <w:widowControl w:val="0"/>
        <w:shd w:val="clear" w:color="auto" w:fill="auto"/>
        <w:bidi w:val="0"/>
        <w:spacing w:before="0" w:after="0" w:line="240" w:lineRule="auto"/>
        <w:ind w:left="0" w:right="0" w:firstLine="740"/>
        <w:jc w:val="both"/>
      </w:pPr>
      <w:r>
        <w:rPr>
          <w:rStyle w:val="CharStyle12"/>
          <w:lang w:val="en-US" w:eastAsia="en-US"/>
        </w:rPr>
        <w:t xml:space="preserve">30.04.2026 </w:t>
      </w:r>
      <w:r>
        <w:rPr>
          <w:rStyle w:val="CharStyle12"/>
        </w:rPr>
        <w:t xml:space="preserve">на официальном сайте единой информационной системы в сфере закупок </w:t>
      </w:r>
      <w:r>
        <w:rPr>
          <w:rStyle w:val="CharStyle12"/>
          <w:lang w:val="en-US" w:eastAsia="en-US"/>
        </w:rPr>
        <w:t xml:space="preserve">- </w:t>
      </w:r>
      <w:r>
        <w:fldChar w:fldCharType="begin"/>
      </w:r>
      <w:r>
        <w:rPr/>
        <w:instrText> HYPERLINK "http://www.zakupki.gov.ru/" </w:instrText>
      </w:r>
      <w:r>
        <w:fldChar w:fldCharType="separate"/>
      </w:r>
      <w:r>
        <w:rPr>
          <w:rStyle w:val="CharStyle12"/>
          <w:lang w:val="en-US" w:eastAsia="en-US"/>
        </w:rPr>
        <w:t>www.zakupki.gov.ru</w:t>
      </w:r>
      <w:r>
        <w:fldChar w:fldCharType="end"/>
      </w:r>
      <w:r>
        <w:rPr>
          <w:rStyle w:val="CharStyle12"/>
          <w:lang w:val="en-US" w:eastAsia="en-US"/>
        </w:rPr>
        <w:t xml:space="preserve"> </w:t>
      </w:r>
      <w:r>
        <w:rPr>
          <w:rStyle w:val="CharStyle12"/>
        </w:rPr>
        <w:t xml:space="preserve">(далее </w:t>
      </w:r>
      <w:r>
        <w:rPr>
          <w:rStyle w:val="CharStyle12"/>
          <w:lang w:val="en-US" w:eastAsia="en-US"/>
        </w:rPr>
        <w:t xml:space="preserve">— </w:t>
      </w:r>
      <w:r>
        <w:rPr>
          <w:rStyle w:val="CharStyle12"/>
        </w:rPr>
        <w:t xml:space="preserve">официальный сайт) размещено извещение о проведении электронного аукциона (далее </w:t>
      </w:r>
      <w:r>
        <w:rPr>
          <w:rStyle w:val="CharStyle12"/>
          <w:lang w:val="en-US" w:eastAsia="en-US"/>
        </w:rPr>
        <w:t xml:space="preserve">– </w:t>
      </w:r>
      <w:r>
        <w:rPr>
          <w:rStyle w:val="CharStyle12"/>
        </w:rPr>
        <w:t>Извещение)</w:t>
      </w:r>
      <w:r>
        <w:rPr>
          <w:rStyle w:val="CharStyle12"/>
          <w:color w:val="000080"/>
          <w:u w:val="single"/>
        </w:rPr>
        <w:t>.</w:t>
      </w:r>
    </w:p>
    <w:p>
      <w:pPr>
        <w:pStyle w:val="Style11"/>
        <w:keepNext w:val="0"/>
        <w:keepLines w:val="0"/>
        <w:widowControl w:val="0"/>
        <w:shd w:val="clear" w:color="auto" w:fill="auto"/>
        <w:bidi w:val="0"/>
        <w:spacing w:before="0" w:after="0" w:line="240" w:lineRule="auto"/>
        <w:ind w:left="0" w:right="0" w:firstLine="0"/>
        <w:jc w:val="center"/>
      </w:pPr>
      <w:r>
        <w:rPr>
          <w:rStyle w:val="CharStyle12"/>
          <w:color w:val="000080"/>
          <w:u w:val="single"/>
        </w:rPr>
        <w:t>Начальная (максимальная) цена контракта</w:t>
      </w:r>
      <w:r>
        <w:rPr>
          <w:rStyle w:val="CharStyle12"/>
          <w:color w:val="000080"/>
        </w:rPr>
        <w:t xml:space="preserve"> </w:t>
      </w:r>
      <w:r>
        <w:rPr>
          <w:rStyle w:val="CharStyle12"/>
        </w:rPr>
        <w:t xml:space="preserve">составила </w:t>
      </w:r>
      <w:r>
        <w:rPr>
          <w:rStyle w:val="CharStyle12"/>
          <w:lang w:val="en-US" w:eastAsia="en-US"/>
        </w:rPr>
        <w:t xml:space="preserve">35 246 938,02 </w:t>
      </w:r>
      <w:r>
        <w:rPr>
          <w:rStyle w:val="CharStyle12"/>
        </w:rPr>
        <w:t>руб.</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Заявитель считает, что Заказчиком нарушены положения </w:t>
      </w:r>
      <w:r>
        <w:rPr>
          <w:rStyle w:val="CharStyle12"/>
          <w:color w:val="0000FF"/>
        </w:rPr>
        <w:t xml:space="preserve">Постановления </w:t>
      </w:r>
      <w:r>
        <w:rPr>
          <w:rStyle w:val="CharStyle12"/>
        </w:rPr>
        <w:t xml:space="preserve">Правительства РФ от </w:t>
      </w:r>
      <w:r>
        <w:rPr>
          <w:rStyle w:val="CharStyle12"/>
          <w:lang w:val="en-US" w:eastAsia="en-US"/>
        </w:rPr>
        <w:t xml:space="preserve">19.04.2021 № 620 </w:t>
      </w:r>
      <w:r>
        <w:rPr>
          <w:rStyle w:val="CharStyle12"/>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 620) </w:t>
      </w:r>
      <w:r>
        <w:rPr>
          <w:rStyle w:val="CharStyle12"/>
        </w:rPr>
        <w:t>поскольку неправомерно включены в состав закупки товары технологически и функционально не связанные между собой.</w:t>
      </w:r>
    </w:p>
    <w:p>
      <w:pPr>
        <w:pStyle w:val="Style11"/>
        <w:keepNext w:val="0"/>
        <w:keepLines w:val="0"/>
        <w:widowControl w:val="0"/>
        <w:shd w:val="clear" w:color="auto" w:fill="auto"/>
        <w:bidi w:val="0"/>
        <w:spacing w:before="0" w:after="280" w:line="240" w:lineRule="auto"/>
        <w:ind w:left="0" w:right="0" w:firstLine="580"/>
        <w:jc w:val="both"/>
      </w:pPr>
      <w:r>
        <w:rPr>
          <w:rStyle w:val="CharStyle12"/>
        </w:rPr>
        <w:t>Комиссия считает довод Заявителя необоснованным по следующим основаниям.</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 соответствии с </w:t>
      </w:r>
      <w:r>
        <w:rPr>
          <w:rStyle w:val="CharStyle12"/>
          <w:color w:val="0000FF"/>
        </w:rPr>
        <w:t xml:space="preserve">частью </w:t>
      </w:r>
      <w:r>
        <w:rPr>
          <w:rStyle w:val="CharStyle12"/>
          <w:color w:val="0000FF"/>
          <w:lang w:val="en-US" w:eastAsia="en-US"/>
        </w:rPr>
        <w:t xml:space="preserve">2 </w:t>
      </w:r>
      <w:r>
        <w:rPr>
          <w:rStyle w:val="CharStyle12"/>
          <w:color w:val="0000FF"/>
        </w:rPr>
        <w:t xml:space="preserve">статьи </w:t>
      </w:r>
      <w:r>
        <w:rPr>
          <w:rStyle w:val="CharStyle12"/>
          <w:color w:val="0000FF"/>
          <w:lang w:val="en-US" w:eastAsia="en-US"/>
        </w:rPr>
        <w:t xml:space="preserve">8 </w:t>
      </w:r>
      <w:r>
        <w:rPr>
          <w:rStyle w:val="CharStyle12"/>
        </w:rPr>
        <w:t xml:space="preserve">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Федерального </w:t>
      </w:r>
      <w:r>
        <w:rPr>
          <w:rStyle w:val="CharStyle12"/>
          <w:color w:val="0000FF"/>
        </w:rPr>
        <w:t>закона</w:t>
      </w:r>
      <w:r>
        <w:rPr>
          <w:rStyle w:val="CharStyle12"/>
        </w:rPr>
        <w:t>,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Согласно </w:t>
      </w:r>
      <w:r>
        <w:rPr>
          <w:rStyle w:val="CharStyle12"/>
          <w:color w:val="0000FF"/>
        </w:rPr>
        <w:t xml:space="preserve">пункта </w:t>
      </w:r>
      <w:r>
        <w:rPr>
          <w:rStyle w:val="CharStyle12"/>
          <w:color w:val="0000FF"/>
          <w:lang w:val="en-US" w:eastAsia="en-US"/>
        </w:rPr>
        <w:t xml:space="preserve">1 </w:t>
      </w:r>
      <w:r>
        <w:rPr>
          <w:rStyle w:val="CharStyle12"/>
          <w:color w:val="0000FF"/>
        </w:rPr>
        <w:t xml:space="preserve">части </w:t>
      </w:r>
      <w:r>
        <w:rPr>
          <w:rStyle w:val="CharStyle12"/>
          <w:color w:val="0000FF"/>
          <w:lang w:val="en-US" w:eastAsia="en-US"/>
        </w:rPr>
        <w:t xml:space="preserve">1 </w:t>
      </w:r>
      <w:r>
        <w:rPr>
          <w:rStyle w:val="CharStyle12"/>
          <w:color w:val="0000FF"/>
        </w:rPr>
        <w:t xml:space="preserve">статьи </w:t>
      </w:r>
      <w:r>
        <w:rPr>
          <w:rStyle w:val="CharStyle12"/>
          <w:color w:val="0000FF"/>
          <w:lang w:val="en-US" w:eastAsia="en-US"/>
        </w:rPr>
        <w:t xml:space="preserve">33 </w:t>
      </w:r>
      <w:r>
        <w:rPr>
          <w:rStyle w:val="CharStyle12"/>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 соответствии с </w:t>
      </w:r>
      <w:r>
        <w:rPr>
          <w:rStyle w:val="CharStyle12"/>
          <w:color w:val="0000FF"/>
        </w:rPr>
        <w:t xml:space="preserve">части </w:t>
      </w:r>
      <w:r>
        <w:rPr>
          <w:rStyle w:val="CharStyle12"/>
          <w:color w:val="0000FF"/>
          <w:lang w:val="en-US" w:eastAsia="en-US"/>
        </w:rPr>
        <w:t xml:space="preserve">2 </w:t>
      </w:r>
      <w:r>
        <w:rPr>
          <w:rStyle w:val="CharStyle12"/>
          <w:color w:val="0000FF"/>
        </w:rPr>
        <w:t xml:space="preserve">статьи </w:t>
      </w:r>
      <w:r>
        <w:rPr>
          <w:rStyle w:val="CharStyle12"/>
          <w:color w:val="0000FF"/>
          <w:lang w:val="en-US" w:eastAsia="en-US"/>
        </w:rPr>
        <w:t xml:space="preserve">33 </w:t>
      </w:r>
      <w:r>
        <w:rPr>
          <w:rStyle w:val="CharStyle12"/>
        </w:rPr>
        <w:t xml:space="preserve">Закона о контрактной системе описание объекта закупки в соответствии с требованиями, указанными в </w:t>
      </w:r>
      <w:r>
        <w:rPr>
          <w:rStyle w:val="CharStyle12"/>
          <w:color w:val="0000FF"/>
        </w:rPr>
        <w:t xml:space="preserve">части </w:t>
      </w:r>
      <w:r>
        <w:rPr>
          <w:rStyle w:val="CharStyle12"/>
          <w:color w:val="0000FF"/>
          <w:lang w:val="en-US" w:eastAsia="en-US"/>
        </w:rPr>
        <w:t xml:space="preserve">1 </w:t>
      </w:r>
      <w:r>
        <w:rPr>
          <w:rStyle w:val="CharStyle12"/>
          <w:color w:val="0000FF"/>
        </w:rPr>
        <w:t>настоящей статьи</w:t>
      </w:r>
      <w:r>
        <w:rPr>
          <w:rStyle w:val="CharStyle12"/>
        </w:rPr>
        <w:t>,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Предметом закупки является поставка системы эндоскопической визуализации </w:t>
      </w:r>
      <w:r>
        <w:rPr>
          <w:rStyle w:val="CharStyle12"/>
          <w:lang w:val="en-US" w:eastAsia="en-US"/>
        </w:rPr>
        <w:t xml:space="preserve">- </w:t>
      </w:r>
      <w:r>
        <w:rPr>
          <w:rStyle w:val="CharStyle12"/>
        </w:rPr>
        <w:t>комплекса изделий медицинской техники, состоящих из различных взаимосвязанных между собой изделий медицинского назначения, образующих единую целостность, для возможности достижения определенных клинических задач.</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 силу пунктов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Приложения </w:t>
      </w:r>
      <w:r>
        <w:rPr>
          <w:rStyle w:val="CharStyle12"/>
          <w:lang w:val="en-US" w:eastAsia="en-US"/>
        </w:rPr>
        <w:t xml:space="preserve">N 4 </w:t>
      </w:r>
      <w:r>
        <w:rPr>
          <w:rStyle w:val="CharStyle12"/>
        </w:rPr>
        <w:t xml:space="preserve">к Правилам </w:t>
      </w:r>
      <w:r>
        <w:rPr>
          <w:rStyle w:val="CharStyle12"/>
          <w:lang w:val="en-US" w:eastAsia="en-US"/>
        </w:rPr>
        <w:t xml:space="preserve">N </w:t>
      </w:r>
      <w:r>
        <w:rPr>
          <w:rStyle w:val="CharStyle12"/>
        </w:rPr>
        <w:t>974н эндоскопическое отделение создается в качестве структурного подразделения медицинской организации или иной организации, осуществляющей медицинскую деятельность. В составе отделения могут создаваться эндоскопические кабинеты.</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Согласно пункту </w:t>
      </w:r>
      <w:r>
        <w:rPr>
          <w:rStyle w:val="CharStyle12"/>
          <w:lang w:val="en-US" w:eastAsia="en-US"/>
        </w:rPr>
        <w:t xml:space="preserve">12 </w:t>
      </w:r>
      <w:r>
        <w:rPr>
          <w:rStyle w:val="CharStyle12"/>
        </w:rPr>
        <w:t xml:space="preserve">Приложения </w:t>
      </w:r>
      <w:r>
        <w:rPr>
          <w:rStyle w:val="CharStyle12"/>
          <w:lang w:val="en-US" w:eastAsia="en-US"/>
        </w:rPr>
        <w:t xml:space="preserve">N 4 </w:t>
      </w:r>
      <w:r>
        <w:rPr>
          <w:rStyle w:val="CharStyle12"/>
        </w:rPr>
        <w:t xml:space="preserve">Правил </w:t>
      </w:r>
      <w:r>
        <w:rPr>
          <w:rStyle w:val="CharStyle12"/>
          <w:lang w:val="en-US" w:eastAsia="en-US"/>
        </w:rPr>
        <w:t xml:space="preserve">N </w:t>
      </w:r>
      <w:r>
        <w:rPr>
          <w:rStyle w:val="CharStyle12"/>
        </w:rPr>
        <w:t>974н в отделении рекомендуется предусматривать раздельные эндоскопические манипуляционные (в зависимости от видов проводимых вмешательств) для проведения:</w:t>
      </w:r>
    </w:p>
    <w:p>
      <w:pPr>
        <w:pStyle w:val="Style11"/>
        <w:keepNext w:val="0"/>
        <w:keepLines w:val="0"/>
        <w:widowControl w:val="0"/>
        <w:numPr>
          <w:ilvl w:val="0"/>
          <w:numId w:val="1"/>
        </w:numPr>
        <w:shd w:val="clear" w:color="auto" w:fill="auto"/>
        <w:tabs>
          <w:tab w:pos="796" w:val="left"/>
        </w:tabs>
        <w:bidi w:val="0"/>
        <w:spacing w:before="0" w:after="0" w:line="240" w:lineRule="auto"/>
        <w:ind w:left="0" w:right="0" w:firstLine="560"/>
        <w:jc w:val="both"/>
      </w:pPr>
      <w:r>
        <w:rPr>
          <w:rStyle w:val="CharStyle12"/>
        </w:rPr>
        <w:t>бронхоскопии,</w:t>
      </w:r>
    </w:p>
    <w:p>
      <w:pPr>
        <w:pStyle w:val="Style11"/>
        <w:keepNext w:val="0"/>
        <w:keepLines w:val="0"/>
        <w:widowControl w:val="0"/>
        <w:numPr>
          <w:ilvl w:val="0"/>
          <w:numId w:val="1"/>
        </w:numPr>
        <w:shd w:val="clear" w:color="auto" w:fill="auto"/>
        <w:tabs>
          <w:tab w:pos="796" w:val="left"/>
        </w:tabs>
        <w:bidi w:val="0"/>
        <w:spacing w:before="0" w:after="0" w:line="240" w:lineRule="auto"/>
        <w:ind w:left="0" w:right="0" w:firstLine="560"/>
        <w:jc w:val="both"/>
      </w:pPr>
      <w:r>
        <w:rPr>
          <w:rStyle w:val="CharStyle12"/>
        </w:rPr>
        <w:t>исследований верхних отделов желудочно-кишечного тракта,</w:t>
      </w:r>
    </w:p>
    <w:p>
      <w:pPr>
        <w:pStyle w:val="Style11"/>
        <w:keepNext w:val="0"/>
        <w:keepLines w:val="0"/>
        <w:widowControl w:val="0"/>
        <w:numPr>
          <w:ilvl w:val="0"/>
          <w:numId w:val="1"/>
        </w:numPr>
        <w:shd w:val="clear" w:color="auto" w:fill="auto"/>
        <w:tabs>
          <w:tab w:pos="796" w:val="left"/>
        </w:tabs>
        <w:bidi w:val="0"/>
        <w:spacing w:before="0" w:after="0" w:line="240" w:lineRule="auto"/>
        <w:ind w:left="0" w:right="0" w:firstLine="560"/>
        <w:jc w:val="both"/>
      </w:pPr>
      <w:r>
        <w:rPr>
          <w:rStyle w:val="CharStyle12"/>
        </w:rPr>
        <w:t>исследований нижних отделов желудочно-кишечного тракта.</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 соответствии с </w:t>
      </w:r>
      <w:r>
        <w:rPr>
          <w:rStyle w:val="CharStyle12"/>
          <w:color w:val="0000FF"/>
        </w:rPr>
        <w:t xml:space="preserve">пунктом </w:t>
      </w:r>
      <w:r>
        <w:rPr>
          <w:rStyle w:val="CharStyle12"/>
          <w:color w:val="0000FF"/>
          <w:lang w:val="en-US" w:eastAsia="en-US"/>
        </w:rPr>
        <w:t xml:space="preserve">3660 </w:t>
      </w:r>
      <w:r>
        <w:rPr>
          <w:rStyle w:val="CharStyle12"/>
        </w:rPr>
        <w:t xml:space="preserve">СанПиН </w:t>
      </w:r>
      <w:r>
        <w:rPr>
          <w:rStyle w:val="CharStyle12"/>
          <w:lang w:val="en-US" w:eastAsia="en-US"/>
        </w:rPr>
        <w:t xml:space="preserve">3.3686-21 </w:t>
      </w:r>
      <w:r>
        <w:rPr>
          <w:rStyle w:val="CharStyle12"/>
        </w:rPr>
        <w:t>"Санитарно</w:t>
        <w:softHyphen/>
        <w:t xml:space="preserve">эпидемиологические требования по профилактике инфекционных болезней", утвержденных постановлением Главного государственного санитарного врача РФ от </w:t>
      </w:r>
      <w:r>
        <w:rPr>
          <w:rStyle w:val="CharStyle12"/>
          <w:lang w:val="en-US" w:eastAsia="en-US"/>
        </w:rPr>
        <w:t xml:space="preserve">28.01.2021 N 4 </w:t>
      </w:r>
      <w:r>
        <w:rPr>
          <w:rStyle w:val="CharStyle12"/>
        </w:rPr>
        <w:t xml:space="preserve">(далее </w:t>
      </w:r>
      <w:r>
        <w:rPr>
          <w:rStyle w:val="CharStyle12"/>
          <w:lang w:val="en-US" w:eastAsia="en-US"/>
        </w:rPr>
        <w:t xml:space="preserve">- </w:t>
      </w:r>
      <w:r>
        <w:rPr>
          <w:rStyle w:val="CharStyle12"/>
        </w:rPr>
        <w:t xml:space="preserve">СанПиН </w:t>
      </w:r>
      <w:r>
        <w:rPr>
          <w:rStyle w:val="CharStyle12"/>
          <w:lang w:val="en-US" w:eastAsia="en-US"/>
        </w:rPr>
        <w:t xml:space="preserve">3.3686-21), </w:t>
      </w:r>
      <w:r>
        <w:rPr>
          <w:rStyle w:val="CharStyle12"/>
        </w:rPr>
        <w:t>эндоскопическое отделение (кабинет)</w:t>
      </w:r>
    </w:p>
    <w:p>
      <w:pPr>
        <w:pStyle w:val="Style11"/>
        <w:keepNext w:val="0"/>
        <w:keepLines w:val="0"/>
        <w:widowControl w:val="0"/>
        <w:shd w:val="clear" w:color="auto" w:fill="auto"/>
        <w:bidi w:val="0"/>
        <w:spacing w:before="0" w:after="0" w:line="240" w:lineRule="auto"/>
        <w:ind w:left="0" w:right="0" w:firstLine="0"/>
        <w:jc w:val="both"/>
      </w:pPr>
      <w:r>
        <w:rPr>
          <w:rStyle w:val="CharStyle12"/>
        </w:rPr>
        <w:t>должно иметь раздельные эндоскопические манипуляционные (в зависимости от видов проводимых вмешательств) для проведения:</w:t>
      </w:r>
    </w:p>
    <w:p>
      <w:pPr>
        <w:pStyle w:val="Style11"/>
        <w:keepNext w:val="0"/>
        <w:keepLines w:val="0"/>
        <w:widowControl w:val="0"/>
        <w:numPr>
          <w:ilvl w:val="0"/>
          <w:numId w:val="1"/>
        </w:numPr>
        <w:shd w:val="clear" w:color="auto" w:fill="auto"/>
        <w:tabs>
          <w:tab w:pos="796" w:val="left"/>
        </w:tabs>
        <w:bidi w:val="0"/>
        <w:spacing w:before="0" w:after="0" w:line="240" w:lineRule="auto"/>
        <w:ind w:left="0" w:right="0" w:firstLine="560"/>
        <w:jc w:val="both"/>
      </w:pPr>
      <w:r>
        <w:rPr>
          <w:rStyle w:val="CharStyle12"/>
        </w:rPr>
        <w:t>бронхоскопии;</w:t>
      </w:r>
    </w:p>
    <w:p>
      <w:pPr>
        <w:pStyle w:val="Style11"/>
        <w:keepNext w:val="0"/>
        <w:keepLines w:val="0"/>
        <w:widowControl w:val="0"/>
        <w:numPr>
          <w:ilvl w:val="0"/>
          <w:numId w:val="1"/>
        </w:numPr>
        <w:shd w:val="clear" w:color="auto" w:fill="auto"/>
        <w:tabs>
          <w:tab w:pos="796" w:val="left"/>
        </w:tabs>
        <w:bidi w:val="0"/>
        <w:spacing w:before="0" w:after="0" w:line="240" w:lineRule="auto"/>
        <w:ind w:left="0" w:right="0" w:firstLine="560"/>
        <w:jc w:val="both"/>
      </w:pPr>
      <w:r>
        <w:rPr>
          <w:rStyle w:val="CharStyle12"/>
        </w:rPr>
        <w:t>исследований верхних отделов желудочно-кишечного тракта;</w:t>
      </w:r>
    </w:p>
    <w:p>
      <w:pPr>
        <w:pStyle w:val="Style11"/>
        <w:keepNext w:val="0"/>
        <w:keepLines w:val="0"/>
        <w:widowControl w:val="0"/>
        <w:numPr>
          <w:ilvl w:val="0"/>
          <w:numId w:val="1"/>
        </w:numPr>
        <w:shd w:val="clear" w:color="auto" w:fill="auto"/>
        <w:tabs>
          <w:tab w:pos="796" w:val="left"/>
        </w:tabs>
        <w:bidi w:val="0"/>
        <w:spacing w:before="0" w:after="0" w:line="240" w:lineRule="auto"/>
        <w:ind w:left="0" w:right="0" w:firstLine="560"/>
        <w:jc w:val="both"/>
      </w:pPr>
      <w:r>
        <w:rPr>
          <w:rStyle w:val="CharStyle12"/>
        </w:rPr>
        <w:t>исследований нижних отделов желудочно-кишечного тракта.</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Приложением </w:t>
      </w:r>
      <w:r>
        <w:rPr>
          <w:rStyle w:val="CharStyle12"/>
          <w:lang w:val="en-US" w:eastAsia="en-US"/>
        </w:rPr>
        <w:t xml:space="preserve">N 6 </w:t>
      </w:r>
      <w:r>
        <w:rPr>
          <w:rStyle w:val="CharStyle12"/>
        </w:rPr>
        <w:t xml:space="preserve">к Правилам </w:t>
      </w:r>
      <w:r>
        <w:rPr>
          <w:rStyle w:val="CharStyle12"/>
          <w:lang w:val="en-US" w:eastAsia="en-US"/>
        </w:rPr>
        <w:t xml:space="preserve">N </w:t>
      </w:r>
      <w:r>
        <w:rPr>
          <w:rStyle w:val="CharStyle12"/>
        </w:rPr>
        <w:t xml:space="preserve">974н является Стандарт оснащения эндоскопического отделения, которым предусмотрено, что в отделении эндоскопических исследований должно быть не менее </w:t>
      </w:r>
      <w:r>
        <w:rPr>
          <w:rStyle w:val="CharStyle12"/>
          <w:lang w:val="en-US" w:eastAsia="en-US"/>
        </w:rPr>
        <w:t xml:space="preserve">2 </w:t>
      </w:r>
      <w:r>
        <w:rPr>
          <w:rStyle w:val="CharStyle12"/>
        </w:rPr>
        <w:t xml:space="preserve">эндоскопических систем. Допускается иметь </w:t>
      </w:r>
      <w:r>
        <w:rPr>
          <w:rStyle w:val="CharStyle12"/>
          <w:lang w:val="en-US" w:eastAsia="en-US"/>
        </w:rPr>
        <w:t xml:space="preserve">1 </w:t>
      </w:r>
      <w:r>
        <w:rPr>
          <w:rStyle w:val="CharStyle12"/>
        </w:rPr>
        <w:t xml:space="preserve">видеопроцессор при наличии видеоэндоскопической системы, также должно иметься не менее </w:t>
      </w:r>
      <w:r>
        <w:rPr>
          <w:rStyle w:val="CharStyle12"/>
          <w:lang w:val="en-US" w:eastAsia="en-US"/>
        </w:rPr>
        <w:t xml:space="preserve">4 </w:t>
      </w:r>
      <w:r>
        <w:rPr>
          <w:rStyle w:val="CharStyle12"/>
        </w:rPr>
        <w:t>эндоскопов (для верхних отделов желудочно</w:t>
        <w:softHyphen/>
        <w:t>кишечного тракта, для нижних отделов желудочно-кишечного тракта, панкреато</w:t>
        <w:softHyphen/>
        <w:t>дуоденальной зоны и/или для нижних дыхательных путей).</w:t>
      </w:r>
    </w:p>
    <w:p>
      <w:pPr>
        <w:pStyle w:val="Style11"/>
        <w:keepNext w:val="0"/>
        <w:keepLines w:val="0"/>
        <w:widowControl w:val="0"/>
        <w:shd w:val="clear" w:color="auto" w:fill="auto"/>
        <w:bidi w:val="0"/>
        <w:spacing w:before="0" w:after="0" w:line="240" w:lineRule="auto"/>
        <w:ind w:left="0" w:right="0" w:firstLine="560"/>
        <w:jc w:val="both"/>
      </w:pPr>
      <w:r>
        <w:rPr>
          <w:rStyle w:val="CharStyle12"/>
        </w:rPr>
        <w:t>Таким образом, Стандартом оснащения эндоскопического отделения предусмотрено, что видеопроцессоры и эндоскопы должны быть совместимы с используемой эндоскопической системой, допускается совмещать оборудование нескольких эндоскопических систем.</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 силу </w:t>
      </w:r>
      <w:r>
        <w:rPr>
          <w:rStyle w:val="CharStyle12"/>
          <w:color w:val="0000FF"/>
        </w:rPr>
        <w:t xml:space="preserve">статьи </w:t>
      </w:r>
      <w:r>
        <w:rPr>
          <w:rStyle w:val="CharStyle12"/>
          <w:color w:val="0000FF"/>
          <w:lang w:val="en-US" w:eastAsia="en-US"/>
        </w:rPr>
        <w:t xml:space="preserve">38 </w:t>
      </w:r>
      <w:r>
        <w:rPr>
          <w:rStyle w:val="CharStyle12"/>
        </w:rPr>
        <w:t xml:space="preserve">Федерального закона от </w:t>
      </w:r>
      <w:r>
        <w:rPr>
          <w:rStyle w:val="CharStyle12"/>
          <w:lang w:val="en-US" w:eastAsia="en-US"/>
        </w:rPr>
        <w:t xml:space="preserve">21.11.2011 N </w:t>
      </w:r>
      <w:r>
        <w:rPr>
          <w:rStyle w:val="CharStyle12"/>
        </w:rPr>
        <w:t xml:space="preserve">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 </w:t>
      </w:r>
      <w:r>
        <w:rPr>
          <w:rStyle w:val="CharStyle12"/>
          <w:color w:val="0000FF"/>
        </w:rPr>
        <w:t xml:space="preserve">(пункт </w:t>
      </w:r>
      <w:r>
        <w:rPr>
          <w:rStyle w:val="CharStyle12"/>
          <w:color w:val="0000FF"/>
          <w:lang w:val="en-US" w:eastAsia="en-US"/>
        </w:rPr>
        <w:t>1)</w:t>
      </w:r>
      <w:r>
        <w:rPr>
          <w:rStyle w:val="CharStyle12"/>
          <w:lang w:val="en-US" w:eastAsia="en-US"/>
        </w:rPr>
        <w:t xml:space="preserve">. </w:t>
      </w:r>
      <w:r>
        <w:rPr>
          <w:rStyle w:val="CharStyle12"/>
        </w:rPr>
        <w:t xml:space="preserve">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 </w:t>
      </w:r>
      <w:r>
        <w:rPr>
          <w:rStyle w:val="CharStyle12"/>
          <w:color w:val="0000FF"/>
        </w:rPr>
        <w:t xml:space="preserve">(пункт </w:t>
      </w:r>
      <w:r>
        <w:rPr>
          <w:rStyle w:val="CharStyle12"/>
          <w:color w:val="0000FF"/>
          <w:lang w:val="en-US" w:eastAsia="en-US"/>
        </w:rPr>
        <w:t>2)</w:t>
      </w:r>
      <w:r>
        <w:rPr>
          <w:rStyle w:val="CharStyle12"/>
          <w:lang w:val="en-US" w:eastAsia="en-US"/>
        </w:rPr>
        <w:t>.</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Номенклатурой медицинских изделий предусмотрено медицинское изделие "Система эндоскопической визуализации" с присвоением кода </w:t>
      </w:r>
      <w:r>
        <w:rPr>
          <w:rStyle w:val="CharStyle12"/>
          <w:lang w:val="en-US" w:eastAsia="en-US"/>
        </w:rPr>
        <w:t xml:space="preserve">271790 </w:t>
      </w:r>
      <w:r>
        <w:rPr>
          <w:rStyle w:val="CharStyle12"/>
        </w:rPr>
        <w:t xml:space="preserve">как одному медицинскому изделию, включающему в себя комплектность изделий. Согласно описанию данного кода вида медицинских изделий </w:t>
      </w:r>
      <w:r>
        <w:rPr>
          <w:rStyle w:val="CharStyle12"/>
          <w:lang w:val="en-US" w:eastAsia="en-US"/>
        </w:rPr>
        <w:t xml:space="preserve">(271790) </w:t>
      </w:r>
      <w:r>
        <w:rPr>
          <w:rStyle w:val="CharStyle12"/>
        </w:rPr>
        <w:t>классификационные признаки определены следующим образом: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w:t>
      </w:r>
    </w:p>
    <w:p>
      <w:pPr>
        <w:pStyle w:val="Style11"/>
        <w:keepNext w:val="0"/>
        <w:keepLines w:val="0"/>
        <w:widowControl w:val="0"/>
        <w:shd w:val="clear" w:color="auto" w:fill="auto"/>
        <w:bidi w:val="0"/>
        <w:spacing w:before="0" w:after="0" w:line="240" w:lineRule="auto"/>
        <w:ind w:left="0" w:right="0" w:firstLine="0"/>
        <w:jc w:val="both"/>
      </w:pPr>
      <w:r>
        <w:rPr>
          <w:rStyle w:val="CharStyle12"/>
        </w:rPr>
        <w:t>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11"/>
        <w:keepNext w:val="0"/>
        <w:keepLines w:val="0"/>
        <w:widowControl w:val="0"/>
        <w:shd w:val="clear" w:color="auto" w:fill="auto"/>
        <w:bidi w:val="0"/>
        <w:spacing w:before="0" w:after="0" w:line="240" w:lineRule="auto"/>
        <w:ind w:left="0" w:right="0" w:firstLine="560"/>
        <w:jc w:val="both"/>
      </w:pPr>
      <w:r>
        <w:rPr>
          <w:rStyle w:val="CharStyle12"/>
        </w:rPr>
        <w:t>Согласно положениям "</w:t>
      </w:r>
      <w:r>
        <w:rPr>
          <w:rStyle w:val="CharStyle12"/>
          <w:color w:val="0000FF"/>
        </w:rPr>
        <w:t xml:space="preserve">ГОСТ Р </w:t>
      </w:r>
      <w:r>
        <w:rPr>
          <w:rStyle w:val="CharStyle12"/>
          <w:color w:val="0000FF"/>
          <w:lang w:val="en-US" w:eastAsia="en-US"/>
        </w:rPr>
        <w:t>56278-2014</w:t>
      </w:r>
      <w:r>
        <w:rPr>
          <w:rStyle w:val="CharStyle12"/>
          <w:lang w:val="en-US" w:eastAsia="en-US"/>
        </w:rPr>
        <w:t xml:space="preserve">. </w:t>
      </w:r>
      <w:r>
        <w:rPr>
          <w:rStyle w:val="CharStyle12"/>
        </w:rPr>
        <w:t xml:space="preserve">Национальный стандарт Российской Федерации.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 утвержденного </w:t>
      </w:r>
      <w:r>
        <w:rPr>
          <w:rStyle w:val="CharStyle12"/>
          <w:color w:val="0000FF"/>
        </w:rPr>
        <w:t xml:space="preserve">Приказом </w:t>
      </w:r>
      <w:r>
        <w:rPr>
          <w:rStyle w:val="CharStyle12"/>
        </w:rPr>
        <w:t xml:space="preserve">Росстандарта от </w:t>
      </w:r>
      <w:r>
        <w:rPr>
          <w:rStyle w:val="CharStyle12"/>
          <w:lang w:val="en-US" w:eastAsia="en-US"/>
        </w:rPr>
        <w:t xml:space="preserve">26.11.2014 N </w:t>
      </w:r>
      <w:r>
        <w:rPr>
          <w:rStyle w:val="CharStyle12"/>
        </w:rPr>
        <w:t xml:space="preserve">1881-ст, настоящий стандарт устанавливает основные требования, которые должны содержаться в технических заданиях для государственных закупок на видеоэндоскопические комплексы с установками для ультразвуковой и флуоресцентной эндоскопии (далее </w:t>
      </w:r>
      <w:r>
        <w:rPr>
          <w:rStyle w:val="CharStyle12"/>
          <w:lang w:val="en-US" w:eastAsia="en-US"/>
        </w:rPr>
        <w:t xml:space="preserve">- </w:t>
      </w:r>
      <w:r>
        <w:rPr>
          <w:rStyle w:val="CharStyle12"/>
        </w:rPr>
        <w:t>ВЭ комплексы).</w:t>
      </w:r>
    </w:p>
    <w:p>
      <w:pPr>
        <w:pStyle w:val="Style11"/>
        <w:keepNext w:val="0"/>
        <w:keepLines w:val="0"/>
        <w:widowControl w:val="0"/>
        <w:shd w:val="clear" w:color="auto" w:fill="auto"/>
        <w:bidi w:val="0"/>
        <w:spacing w:before="0" w:after="0" w:line="240" w:lineRule="auto"/>
        <w:ind w:left="0" w:right="0" w:firstLine="560"/>
        <w:jc w:val="both"/>
      </w:pPr>
      <w:r>
        <w:rPr>
          <w:rStyle w:val="CharStyle12"/>
          <w:color w:val="0000FF"/>
        </w:rPr>
        <w:t xml:space="preserve">Пунктом </w:t>
      </w:r>
      <w:r>
        <w:rPr>
          <w:rStyle w:val="CharStyle12"/>
          <w:color w:val="0000FF"/>
          <w:lang w:val="en-US" w:eastAsia="en-US"/>
        </w:rPr>
        <w:t xml:space="preserve">4.2.4 </w:t>
      </w:r>
      <w:r>
        <w:rPr>
          <w:rStyle w:val="CharStyle12"/>
        </w:rPr>
        <w:t xml:space="preserve">ГОСТ Р </w:t>
      </w:r>
      <w:r>
        <w:rPr>
          <w:rStyle w:val="CharStyle12"/>
          <w:lang w:val="en-US" w:eastAsia="en-US"/>
        </w:rPr>
        <w:t xml:space="preserve">56278-2014 </w:t>
      </w:r>
      <w:r>
        <w:rPr>
          <w:rStyle w:val="CharStyle12"/>
        </w:rPr>
        <w:t>определено, что принцип построения приборного ВЭ комплекса на основе функциональных блоков и состав формируют согласно предпочтениям Заказчика. Все приборы должны быть оптимизированы для совместной работы с эндоскопическим оборудованием без или с дополнительными адаптерами.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Согласно </w:t>
      </w:r>
      <w:r>
        <w:rPr>
          <w:rStyle w:val="CharStyle12"/>
          <w:color w:val="0000FF"/>
        </w:rPr>
        <w:t xml:space="preserve">пункту </w:t>
      </w:r>
      <w:r>
        <w:rPr>
          <w:rStyle w:val="CharStyle12"/>
          <w:color w:val="0000FF"/>
          <w:lang w:val="en-US" w:eastAsia="en-US"/>
        </w:rPr>
        <w:t xml:space="preserve">4.3.1 </w:t>
      </w:r>
      <w:r>
        <w:rPr>
          <w:rStyle w:val="CharStyle12"/>
        </w:rPr>
        <w:t xml:space="preserve">ГОСТ Р </w:t>
      </w:r>
      <w:r>
        <w:rPr>
          <w:rStyle w:val="CharStyle12"/>
          <w:lang w:val="en-US" w:eastAsia="en-US"/>
        </w:rPr>
        <w:t xml:space="preserve">56278-2014 </w:t>
      </w:r>
      <w:r>
        <w:rPr>
          <w:rStyle w:val="CharStyle12"/>
        </w:rPr>
        <w:t>ВЭ комплексы должны иметь приборный состав и технические характеристики для выполнения, предусмотренного поставщиком назначения и применения в нормальных условиях их эксплуатации.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 соответствии с </w:t>
      </w:r>
      <w:r>
        <w:rPr>
          <w:rStyle w:val="CharStyle12"/>
          <w:color w:val="0000FF"/>
        </w:rPr>
        <w:t xml:space="preserve">п. </w:t>
      </w:r>
      <w:r>
        <w:rPr>
          <w:rStyle w:val="CharStyle12"/>
          <w:color w:val="0000FF"/>
          <w:lang w:val="en-US" w:eastAsia="en-US"/>
        </w:rPr>
        <w:t xml:space="preserve">4.2.4 </w:t>
      </w:r>
      <w:r>
        <w:rPr>
          <w:rStyle w:val="CharStyle12"/>
        </w:rPr>
        <w:t xml:space="preserve">ГОСТ Р </w:t>
      </w:r>
      <w:r>
        <w:rPr>
          <w:rStyle w:val="CharStyle12"/>
          <w:lang w:val="en-US" w:eastAsia="en-US"/>
        </w:rPr>
        <w:t xml:space="preserve">56279-2014 </w:t>
      </w:r>
      <w:r>
        <w:rPr>
          <w:rStyle w:val="CharStyle12"/>
        </w:rPr>
        <w:t>принцип построения приборного комплекса ЭС на основе функциональных блоков и состав формируют согласно предпочтениям Заказчика. При этом, все приборы должны быть оптимизированы для совместной работы и должны быть совместимы с наиболее распространенными типами отечественных и импортных эндоскопов.</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Также, на основании </w:t>
      </w:r>
      <w:r>
        <w:rPr>
          <w:rStyle w:val="CharStyle12"/>
          <w:color w:val="0000FF"/>
        </w:rPr>
        <w:t xml:space="preserve">примечания </w:t>
      </w:r>
      <w:r>
        <w:rPr>
          <w:rStyle w:val="CharStyle12"/>
          <w:color w:val="0000FF"/>
          <w:lang w:val="en-US" w:eastAsia="en-US"/>
        </w:rPr>
        <w:t xml:space="preserve">2 </w:t>
      </w:r>
      <w:r>
        <w:rPr>
          <w:rStyle w:val="CharStyle12"/>
        </w:rPr>
        <w:t xml:space="preserve">к рекомендуемому приборному составу эндоскопической системы, выраженной в </w:t>
      </w:r>
      <w:r>
        <w:rPr>
          <w:rStyle w:val="CharStyle12"/>
          <w:color w:val="0000FF"/>
        </w:rPr>
        <w:t xml:space="preserve">п. </w:t>
      </w:r>
      <w:r>
        <w:rPr>
          <w:rStyle w:val="CharStyle12"/>
          <w:color w:val="0000FF"/>
          <w:lang w:val="en-US" w:eastAsia="en-US"/>
        </w:rPr>
        <w:t xml:space="preserve">4.3.2 </w:t>
      </w:r>
      <w:r>
        <w:rPr>
          <w:rStyle w:val="CharStyle12"/>
        </w:rPr>
        <w:t xml:space="preserve">ГОСТ Р </w:t>
      </w:r>
      <w:r>
        <w:rPr>
          <w:rStyle w:val="CharStyle12"/>
          <w:lang w:val="en-US" w:eastAsia="en-US"/>
        </w:rPr>
        <w:t xml:space="preserve">56279-2014, </w:t>
      </w:r>
      <w:r>
        <w:rPr>
          <w:rStyle w:val="CharStyle12"/>
        </w:rPr>
        <w:t>допускается включение и/или исключение рекомендуемых требований к составу эндоскопической системы, по согласованию с заказчиком в соответствии с предусмотренным применением в медицинском учреждении.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Заявитель также в жалобе указал, что неправомерно объединены в один лот разные виды медицинского оборудования (эндоскопическая система и автоматизированное рабочее место состоящее из: видеопроцессора, эндоскопа (видеогастроскоп), эндоскопа (видеоколоноскоп), функционально не связанного между собой, что нарушает требования Постановления </w:t>
      </w:r>
      <w:r>
        <w:rPr>
          <w:rStyle w:val="CharStyle12"/>
          <w:lang w:val="en-US" w:eastAsia="en-US"/>
        </w:rPr>
        <w:t>№ 620.</w:t>
      </w:r>
    </w:p>
    <w:p>
      <w:pPr>
        <w:pStyle w:val="Style11"/>
        <w:keepNext w:val="0"/>
        <w:keepLines w:val="0"/>
        <w:widowControl w:val="0"/>
        <w:shd w:val="clear" w:color="auto" w:fill="auto"/>
        <w:bidi w:val="0"/>
        <w:spacing w:before="0" w:after="0" w:line="240" w:lineRule="auto"/>
        <w:ind w:left="0" w:right="0" w:firstLine="560"/>
        <w:jc w:val="both"/>
      </w:pPr>
      <w:r>
        <w:rPr>
          <w:rStyle w:val="CharStyle12"/>
        </w:rPr>
        <w:t>Как следует из пояснений Заказчика, инструменты, указанные в описании объекта закупки, имеют функциональную связь, у каждого инструмента имеется разъем для подключения к системе.</w:t>
      </w:r>
    </w:p>
    <w:p>
      <w:pPr>
        <w:pStyle w:val="Style11"/>
        <w:keepNext w:val="0"/>
        <w:keepLines w:val="0"/>
        <w:widowControl w:val="0"/>
        <w:shd w:val="clear" w:color="auto" w:fill="auto"/>
        <w:bidi w:val="0"/>
        <w:spacing w:before="0" w:after="0" w:line="240" w:lineRule="auto"/>
        <w:ind w:left="0" w:right="0" w:firstLine="560"/>
        <w:jc w:val="both"/>
      </w:pPr>
      <w:r>
        <w:rPr>
          <w:rStyle w:val="CharStyle12"/>
        </w:rPr>
        <w:t>Доказательств того, что указанные инструменты и аппараты Заказчик будет использовать отдельно от эндоскопической системы визуализации и вне рамок потребностей, указанных в описании объекта закупки Заявителем не представлено.</w:t>
      </w:r>
    </w:p>
    <w:p>
      <w:pPr>
        <w:pStyle w:val="Style11"/>
        <w:keepNext w:val="0"/>
        <w:keepLines w:val="0"/>
        <w:widowControl w:val="0"/>
        <w:shd w:val="clear" w:color="auto" w:fill="auto"/>
        <w:bidi w:val="0"/>
        <w:spacing w:before="0" w:after="0" w:line="240" w:lineRule="auto"/>
        <w:ind w:left="0" w:right="0" w:firstLine="560"/>
        <w:jc w:val="both"/>
      </w:pPr>
      <w:r>
        <w:rPr>
          <w:rStyle w:val="CharStyle12"/>
        </w:rPr>
        <w:t>Кроме того, Заказчик пояснил, что раздельная закупка входящих в состав системы эндоскопической визуализации блоков оборудования и инструментов невозможна в связи с технической и функциональной взаимосвязью между блоками и инструментами, а также отсутствием документального подтверждения (например, в инструкции) о совместимости между блоками и инструментами различных производителей. Составные части системы имеют функциональную связь между собой и недопоставка какого-либо оборудования, несовместимость входящего в эндоскопическую систему оборудования между собой, влечет невозможность проведения медицинских манипуляций в полном объеме.</w:t>
      </w:r>
    </w:p>
    <w:p>
      <w:pPr>
        <w:pStyle w:val="Style11"/>
        <w:keepNext w:val="0"/>
        <w:keepLines w:val="0"/>
        <w:widowControl w:val="0"/>
        <w:shd w:val="clear" w:color="auto" w:fill="auto"/>
        <w:bidi w:val="0"/>
        <w:spacing w:before="0" w:after="280" w:line="240" w:lineRule="auto"/>
        <w:ind w:left="0" w:right="0" w:firstLine="720"/>
        <w:jc w:val="both"/>
      </w:pPr>
      <w:r>
        <w:rPr>
          <w:rStyle w:val="CharStyle12"/>
        </w:rPr>
        <w:t xml:space="preserve">Доводы подателя жалобы, что действия заказчика направлены на прямое уклонение от исполнения положений </w:t>
      </w:r>
      <w:r>
        <w:rPr>
          <w:rStyle w:val="CharStyle12"/>
          <w:color w:val="0000FF"/>
        </w:rPr>
        <w:t xml:space="preserve">Постановления </w:t>
      </w:r>
      <w:r>
        <w:rPr>
          <w:rStyle w:val="CharStyle12"/>
          <w:lang w:val="en-US" w:eastAsia="en-US"/>
        </w:rPr>
        <w:t xml:space="preserve">№620, </w:t>
      </w:r>
      <w:r>
        <w:rPr>
          <w:rStyle w:val="CharStyle12"/>
        </w:rPr>
        <w:t>рассмотрены и отклоняются Комиссией Управления в силу вышеизложенного.</w:t>
      </w:r>
    </w:p>
    <w:p>
      <w:pPr>
        <w:pStyle w:val="Style11"/>
        <w:keepNext w:val="0"/>
        <w:keepLines w:val="0"/>
        <w:widowControl w:val="0"/>
        <w:shd w:val="clear" w:color="auto" w:fill="auto"/>
        <w:bidi w:val="0"/>
        <w:spacing w:before="0" w:after="0" w:line="240" w:lineRule="auto"/>
        <w:ind w:left="0" w:right="0" w:firstLine="560"/>
        <w:jc w:val="both"/>
      </w:pPr>
      <w:r>
        <w:rPr>
          <w:rStyle w:val="CharStyle12"/>
        </w:rPr>
        <w:t>Кроме того, согласно жалобе Заявителя, Заказчиком не применены позиции КТРУ, а также установлены дополнительные характеристики, не предусмотренные такими позициями.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 силу пункта </w:t>
      </w:r>
      <w:r>
        <w:rPr>
          <w:rStyle w:val="CharStyle12"/>
          <w:lang w:val="en-US" w:eastAsia="en-US"/>
        </w:rPr>
        <w:t xml:space="preserve">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Согласно части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Согласно пункту </w:t>
      </w:r>
      <w:r>
        <w:rPr>
          <w:rStyle w:val="CharStyle12"/>
          <w:lang w:val="en-US" w:eastAsia="en-US"/>
        </w:rPr>
        <w:t xml:space="preserve">4 </w:t>
      </w:r>
      <w:r>
        <w:rPr>
          <w:rStyle w:val="CharStyle12"/>
        </w:rPr>
        <w:t xml:space="preserve">Правил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Правила использования КТРУ), утвержденных Постановлением Правительства Российской Федерации от </w:t>
      </w:r>
      <w:r>
        <w:rPr>
          <w:rStyle w:val="CharStyle12"/>
          <w:lang w:val="en-US" w:eastAsia="en-US"/>
        </w:rPr>
        <w:t xml:space="preserve">08.02.2017 №145 </w:t>
      </w:r>
      <w:r>
        <w:rPr>
          <w:rStyle w:val="CharStyle12"/>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Постановление Правительства </w:t>
      </w:r>
      <w:r>
        <w:rPr>
          <w:rStyle w:val="CharStyle12"/>
          <w:lang w:val="en-US" w:eastAsia="en-US"/>
        </w:rPr>
        <w:t xml:space="preserve">№145) </w:t>
      </w:r>
      <w:r>
        <w:rPr>
          <w:rStyle w:val="CharStyle12"/>
        </w:rPr>
        <w:t xml:space="preserve">заказчики обязаны применять информацию, включенную в позицию каталога в соответствии с подпунктами «б» </w:t>
      </w:r>
      <w:r>
        <w:rPr>
          <w:rStyle w:val="CharStyle12"/>
          <w:lang w:val="en-US" w:eastAsia="en-US"/>
        </w:rPr>
        <w:t xml:space="preserve">- </w:t>
      </w:r>
      <w:r>
        <w:rPr>
          <w:rStyle w:val="CharStyle12"/>
        </w:rPr>
        <w:t xml:space="preserve">«г» и «е» </w:t>
      </w:r>
      <w:r>
        <w:rPr>
          <w:rStyle w:val="CharStyle12"/>
          <w:lang w:val="en-US" w:eastAsia="en-US"/>
        </w:rPr>
        <w:t xml:space="preserve">- </w:t>
      </w:r>
      <w:r>
        <w:rPr>
          <w:rStyle w:val="CharStyle12"/>
        </w:rPr>
        <w:t xml:space="preserve">«з» пункта </w:t>
      </w:r>
      <w:r>
        <w:rPr>
          <w:rStyle w:val="CharStyle12"/>
          <w:lang w:val="en-US" w:eastAsia="en-US"/>
        </w:rPr>
        <w:t xml:space="preserve">10 </w:t>
      </w:r>
      <w:r>
        <w:rPr>
          <w:rStyle w:val="CharStyle12"/>
        </w:rPr>
        <w:t>Правил формирования и ведения в единой</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w:t>
      </w:r>
      <w:r>
        <w:rPr>
          <w:rStyle w:val="CharStyle12"/>
          <w:lang w:val="en-US" w:eastAsia="en-US"/>
        </w:rPr>
        <w:t xml:space="preserve">№145, </w:t>
      </w:r>
      <w:r>
        <w:rPr>
          <w:rStyle w:val="CharStyle12"/>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3"/>
        </w:numPr>
        <w:shd w:val="clear" w:color="auto" w:fill="auto"/>
        <w:tabs>
          <w:tab w:pos="911" w:val="left"/>
        </w:tabs>
        <w:bidi w:val="0"/>
        <w:spacing w:before="0" w:after="0" w:line="240" w:lineRule="auto"/>
        <w:ind w:left="0" w:right="0" w:firstLine="560"/>
        <w:jc w:val="both"/>
      </w:pPr>
      <w:r>
        <w:rPr>
          <w:rStyle w:val="CharStyle12"/>
        </w:rPr>
        <w:t>наименование товара, работы, услуги;</w:t>
      </w:r>
    </w:p>
    <w:p>
      <w:pPr>
        <w:pStyle w:val="Style11"/>
        <w:keepNext w:val="0"/>
        <w:keepLines w:val="0"/>
        <w:widowControl w:val="0"/>
        <w:numPr>
          <w:ilvl w:val="0"/>
          <w:numId w:val="3"/>
        </w:numPr>
        <w:shd w:val="clear" w:color="auto" w:fill="auto"/>
        <w:tabs>
          <w:tab w:pos="931" w:val="left"/>
        </w:tabs>
        <w:bidi w:val="0"/>
        <w:spacing w:before="0" w:after="0" w:line="240" w:lineRule="auto"/>
        <w:ind w:left="0" w:right="0" w:firstLine="560"/>
        <w:jc w:val="both"/>
      </w:pPr>
      <w:r>
        <w:rPr>
          <w:rStyle w:val="CharStyle12"/>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3"/>
        </w:numPr>
        <w:shd w:val="clear" w:color="auto" w:fill="auto"/>
        <w:tabs>
          <w:tab w:pos="921" w:val="left"/>
        </w:tabs>
        <w:bidi w:val="0"/>
        <w:spacing w:before="0" w:after="0" w:line="240" w:lineRule="auto"/>
        <w:ind w:left="0" w:right="0" w:firstLine="560"/>
        <w:jc w:val="both"/>
      </w:pPr>
      <w:r>
        <w:rPr>
          <w:rStyle w:val="CharStyle12"/>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Пунктом </w:t>
      </w:r>
      <w:r>
        <w:rPr>
          <w:rStyle w:val="CharStyle12"/>
          <w:lang w:val="en-US" w:eastAsia="en-US"/>
        </w:rPr>
        <w:t xml:space="preserve">5 </w:t>
      </w:r>
      <w:r>
        <w:rPr>
          <w:rStyle w:val="CharStyle12"/>
        </w:rPr>
        <w:t xml:space="preserve">Правила использования КТРУ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2"/>
          <w:lang w:val="en-US" w:eastAsia="en-US"/>
        </w:rPr>
        <w:t xml:space="preserve">33 </w:t>
      </w:r>
      <w:r>
        <w:rPr>
          <w:rStyle w:val="CharStyle12"/>
        </w:rPr>
        <w:t>Федерального закона, которые не предусмотрены в позиции каталога, за исключением случаев:</w:t>
      </w:r>
    </w:p>
    <w:p>
      <w:pPr>
        <w:pStyle w:val="Style11"/>
        <w:keepNext w:val="0"/>
        <w:keepLines w:val="0"/>
        <w:widowControl w:val="0"/>
        <w:numPr>
          <w:ilvl w:val="0"/>
          <w:numId w:val="5"/>
        </w:numPr>
        <w:shd w:val="clear" w:color="auto" w:fill="auto"/>
        <w:tabs>
          <w:tab w:pos="931" w:val="left"/>
        </w:tabs>
        <w:bidi w:val="0"/>
        <w:spacing w:before="0" w:after="0" w:line="240" w:lineRule="auto"/>
        <w:ind w:left="0" w:right="0" w:firstLine="560"/>
        <w:jc w:val="both"/>
      </w:pPr>
      <w:r>
        <w:rPr>
          <w:rStyle w:val="CharStyle12"/>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2"/>
          <w:lang w:val="en-US" w:eastAsia="en-US"/>
        </w:rPr>
        <w:t xml:space="preserve">25, 26 </w:t>
      </w:r>
      <w:r>
        <w:rPr>
          <w:rStyle w:val="CharStyle12"/>
        </w:rPr>
        <w:t xml:space="preserve">и </w:t>
      </w:r>
      <w:r>
        <w:rPr>
          <w:rStyle w:val="CharStyle12"/>
          <w:lang w:val="en-US" w:eastAsia="en-US"/>
        </w:rPr>
        <w:t xml:space="preserve">32 </w:t>
      </w:r>
      <w:r>
        <w:rPr>
          <w:rStyle w:val="CharStyle12"/>
        </w:rPr>
        <w:t xml:space="preserve">приложения </w:t>
      </w:r>
      <w:r>
        <w:rPr>
          <w:rStyle w:val="CharStyle12"/>
          <w:lang w:val="en-US" w:eastAsia="en-US"/>
        </w:rPr>
        <w:t xml:space="preserve">№1 </w:t>
      </w:r>
      <w:r>
        <w:rPr>
          <w:rStyle w:val="CharStyle12"/>
        </w:rPr>
        <w:t xml:space="preserve">к постановлению Правительства Российской Федерации от </w:t>
      </w:r>
      <w:r>
        <w:rPr>
          <w:rStyle w:val="CharStyle12"/>
          <w:lang w:val="en-US" w:eastAsia="en-US"/>
        </w:rPr>
        <w:t xml:space="preserve">23 </w:t>
      </w:r>
      <w:r>
        <w:rPr>
          <w:rStyle w:val="CharStyle12"/>
        </w:rPr>
        <w:t xml:space="preserve">декабря </w:t>
      </w:r>
      <w:r>
        <w:rPr>
          <w:rStyle w:val="CharStyle12"/>
          <w:lang w:val="en-US" w:eastAsia="en-US"/>
        </w:rPr>
        <w:t xml:space="preserve">2024 </w:t>
      </w:r>
      <w:r>
        <w:rPr>
          <w:rStyle w:val="CharStyle12"/>
        </w:rPr>
        <w:t xml:space="preserve">г. </w:t>
      </w:r>
      <w:r>
        <w:rPr>
          <w:rStyle w:val="CharStyle12"/>
          <w:lang w:val="en-US" w:eastAsia="en-US"/>
        </w:rPr>
        <w:t xml:space="preserve">№1875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2"/>
          <w:lang w:val="en-US" w:eastAsia="en-US"/>
        </w:rPr>
        <w:t xml:space="preserve">191 - 361 </w:t>
      </w:r>
      <w:r>
        <w:rPr>
          <w:rStyle w:val="CharStyle12"/>
        </w:rPr>
        <w:t xml:space="preserve">приложения </w:t>
      </w:r>
      <w:r>
        <w:rPr>
          <w:rStyle w:val="CharStyle12"/>
          <w:lang w:val="en-US" w:eastAsia="en-US"/>
        </w:rPr>
        <w:t xml:space="preserve">№2 </w:t>
      </w:r>
      <w:r>
        <w:rPr>
          <w:rStyle w:val="CharStyle12"/>
        </w:rPr>
        <w:t xml:space="preserve">к указанному постановлению, применяются предусмотренные пунктом </w:t>
      </w:r>
      <w:r>
        <w:rPr>
          <w:rStyle w:val="CharStyle12"/>
          <w:lang w:val="en-US" w:eastAsia="en-US"/>
        </w:rPr>
        <w:t xml:space="preserve">1 </w:t>
      </w:r>
      <w:r>
        <w:rPr>
          <w:rStyle w:val="CharStyle12"/>
        </w:rPr>
        <w:t>указанного постановления запрет, ограничение соответственно;</w:t>
      </w:r>
    </w:p>
    <w:p>
      <w:pPr>
        <w:pStyle w:val="Style11"/>
        <w:keepNext w:val="0"/>
        <w:keepLines w:val="0"/>
        <w:widowControl w:val="0"/>
        <w:numPr>
          <w:ilvl w:val="0"/>
          <w:numId w:val="5"/>
        </w:numPr>
        <w:shd w:val="clear" w:color="auto" w:fill="auto"/>
        <w:tabs>
          <w:tab w:pos="931" w:val="left"/>
        </w:tabs>
        <w:bidi w:val="0"/>
        <w:spacing w:before="0" w:after="0" w:line="240" w:lineRule="auto"/>
        <w:ind w:left="0" w:right="0" w:firstLine="560"/>
        <w:jc w:val="both"/>
      </w:pPr>
      <w:r>
        <w:rPr>
          <w:rStyle w:val="CharStyle12"/>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2"/>
          <w:lang w:val="en-US" w:eastAsia="en-US"/>
        </w:rPr>
        <w:t xml:space="preserve">5 </w:t>
      </w:r>
      <w:r>
        <w:rPr>
          <w:rStyle w:val="CharStyle12"/>
        </w:rPr>
        <w:t xml:space="preserve">статьи </w:t>
      </w:r>
      <w:r>
        <w:rPr>
          <w:rStyle w:val="CharStyle12"/>
          <w:lang w:val="en-US" w:eastAsia="en-US"/>
        </w:rPr>
        <w:t xml:space="preserve">33 </w:t>
      </w:r>
      <w:r>
        <w:rPr>
          <w:rStyle w:val="CharStyle12"/>
        </w:rPr>
        <w:t>Федерального закона.</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Вместе с тем в силу пункта </w:t>
      </w:r>
      <w:r>
        <w:rPr>
          <w:rStyle w:val="CharStyle12"/>
          <w:lang w:val="en-US" w:eastAsia="en-US"/>
        </w:rPr>
        <w:t xml:space="preserve">6 </w:t>
      </w:r>
      <w:r>
        <w:rPr>
          <w:rStyle w:val="CharStyle12"/>
        </w:rPr>
        <w:t xml:space="preserve">Правил использования КТРУ в случае предоставления дополнительной информации, предусмотренной пункта </w:t>
      </w:r>
      <w:r>
        <w:rPr>
          <w:rStyle w:val="CharStyle12"/>
          <w:lang w:val="en-US" w:eastAsia="en-US"/>
        </w:rPr>
        <w:t xml:space="preserve">5 </w:t>
      </w:r>
      <w:r>
        <w:rPr>
          <w:rStyle w:val="CharStyle12"/>
        </w:rPr>
        <w:t>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Согласно пункту </w:t>
      </w:r>
      <w:r>
        <w:rPr>
          <w:rStyle w:val="CharStyle12"/>
          <w:lang w:val="en-US" w:eastAsia="en-US"/>
        </w:rPr>
        <w:t xml:space="preserve">7 </w:t>
      </w:r>
      <w:r>
        <w:rPr>
          <w:rStyle w:val="CharStyle12"/>
        </w:rPr>
        <w:t xml:space="preserve">Правил использования КТРУ, а также пункту </w:t>
      </w:r>
      <w:r>
        <w:rPr>
          <w:rStyle w:val="CharStyle12"/>
          <w:lang w:val="en-US" w:eastAsia="en-US"/>
        </w:rPr>
        <w:t xml:space="preserve">5 </w:t>
      </w:r>
      <w:r>
        <w:rPr>
          <w:rStyle w:val="CharStyle12"/>
        </w:rPr>
        <w:t xml:space="preserve">Письма Минфина России от </w:t>
      </w:r>
      <w:r>
        <w:rPr>
          <w:rStyle w:val="CharStyle12"/>
          <w:lang w:val="en-US" w:eastAsia="en-US"/>
        </w:rPr>
        <w:t xml:space="preserve">25.08.2020 </w:t>
      </w:r>
      <w:r>
        <w:rPr>
          <w:rStyle w:val="CharStyle12"/>
        </w:rPr>
        <w:t xml:space="preserve">года </w:t>
      </w:r>
      <w:r>
        <w:rPr>
          <w:rStyle w:val="CharStyle12"/>
          <w:lang w:val="en-US" w:eastAsia="en-US"/>
        </w:rPr>
        <w:t xml:space="preserve">№24-06-05/74463, </w:t>
      </w:r>
      <w:r>
        <w:rPr>
          <w:rStyle w:val="CharStyle12"/>
        </w:rPr>
        <w:t xml:space="preserve">в случае, если описание товара, работы, услуги в соответствии с пунктом </w:t>
      </w:r>
      <w:r>
        <w:rPr>
          <w:rStyle w:val="CharStyle12"/>
          <w:lang w:val="en-US" w:eastAsia="en-US"/>
        </w:rPr>
        <w:t xml:space="preserve">13 </w:t>
      </w:r>
      <w:r>
        <w:rPr>
          <w:rStyle w:val="CharStyle12"/>
        </w:rPr>
        <w:t xml:space="preserve">Правил формирования каталога не сформировано, то описание товара, работы, услуги Минфином России в позицию каталога не включается и соответственно во вкладке «Описание товара, работы, услуги» позиции каталога в ЕИС не отражается,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rStyle w:val="CharStyle12"/>
        </w:rPr>
        <w:t>Согласно сведениям, размещенным в каталоге товаров, работ, услуг для</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обеспечения государственных и муниципальных нужд на сайте единой информационной системы, код КТРУ </w:t>
      </w:r>
      <w:r>
        <w:rPr>
          <w:rStyle w:val="CharStyle12"/>
          <w:lang w:val="en-US" w:eastAsia="en-US"/>
        </w:rPr>
        <w:t xml:space="preserve">26.60.12.119-00000374 </w:t>
      </w:r>
      <w:r>
        <w:rPr>
          <w:rStyle w:val="CharStyle12"/>
        </w:rPr>
        <w:t xml:space="preserve">"Система эндоскопической визуализации" (значение классификатора </w:t>
      </w:r>
      <w:r>
        <w:rPr>
          <w:rStyle w:val="CharStyle12"/>
          <w:lang w:val="en-US" w:eastAsia="en-US"/>
        </w:rPr>
        <w:t xml:space="preserve">- 271790) </w:t>
      </w:r>
      <w:r>
        <w:rPr>
          <w:rStyle w:val="CharStyle12"/>
        </w:rPr>
        <w:t>имеет следующее назначение: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Данный код КТРУ включен в каталог </w:t>
      </w:r>
      <w:r>
        <w:rPr>
          <w:rStyle w:val="CharStyle12"/>
          <w:lang w:val="en-US" w:eastAsia="en-US"/>
        </w:rPr>
        <w:t xml:space="preserve">- 22.03.2019; </w:t>
      </w:r>
      <w:r>
        <w:rPr>
          <w:rStyle w:val="CharStyle12"/>
        </w:rPr>
        <w:t xml:space="preserve">обязателен к применению с </w:t>
      </w:r>
      <w:r>
        <w:rPr>
          <w:rStyle w:val="CharStyle12"/>
          <w:lang w:val="en-US" w:eastAsia="en-US"/>
        </w:rPr>
        <w:t>01.07.2019.</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При этом в позиции кода КТРУ </w:t>
      </w:r>
      <w:r>
        <w:rPr>
          <w:rStyle w:val="CharStyle12"/>
          <w:lang w:val="en-US" w:eastAsia="en-US"/>
        </w:rPr>
        <w:t xml:space="preserve">26.60.12.119-00000374 </w:t>
      </w:r>
      <w:r>
        <w:rPr>
          <w:rStyle w:val="CharStyle12"/>
        </w:rPr>
        <w:t>отсутствуют функциональные характеристики товара (обязательные (рекомендуемые)), которые заказчики должны установить при формировании описания объекта закупки, что позволяет заказчикам самостоятельно определять технические характеристики, закупаемого товара, но в рамках функционального назначения оборудования, соответствующего указанному коду КТРУ.</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При таких обстоятельствах, заказчику при формировании закупки в рамках </w:t>
      </w:r>
      <w:r>
        <w:rPr>
          <w:rStyle w:val="CharStyle12"/>
          <w:color w:val="0000FF"/>
        </w:rPr>
        <w:t xml:space="preserve">Закона </w:t>
      </w:r>
      <w:r>
        <w:rPr>
          <w:rStyle w:val="CharStyle12"/>
        </w:rPr>
        <w:t>были предоставлены полномочия по самостоятельному определению параметров и характеристик товара, в наибольшей степени удовлетворяющих его потребности, но, при описании объекта закупки заказчик должен был таким образом прописать требования к закупаемому товару,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Комиссия, проанализировав доводы сторон, пришла к выводу, что описание объекта закупки составлено с учетом требований </w:t>
      </w:r>
      <w:r>
        <w:rPr>
          <w:rStyle w:val="CharStyle12"/>
          <w:color w:val="0000FF"/>
        </w:rPr>
        <w:t xml:space="preserve">статьи </w:t>
      </w:r>
      <w:r>
        <w:rPr>
          <w:rStyle w:val="CharStyle12"/>
          <w:color w:val="0000FF"/>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line="240" w:lineRule="auto"/>
        <w:ind w:left="0" w:right="0" w:firstLine="560"/>
        <w:jc w:val="both"/>
      </w:pPr>
      <w:r>
        <w:rPr>
          <w:rStyle w:val="CharStyle12"/>
        </w:rPr>
        <w:t>Заявителем не указано какие именно, по его мнению, позиции КТРУ следовало применить Заказчику при формировании описания объекта закупки.</w:t>
      </w:r>
    </w:p>
    <w:p>
      <w:pPr>
        <w:pStyle w:val="Style11"/>
        <w:keepNext w:val="0"/>
        <w:keepLines w:val="0"/>
        <w:widowControl w:val="0"/>
        <w:shd w:val="clear" w:color="auto" w:fill="auto"/>
        <w:bidi w:val="0"/>
        <w:spacing w:before="0" w:after="0" w:line="240" w:lineRule="auto"/>
        <w:ind w:left="0" w:right="0" w:firstLine="560"/>
        <w:jc w:val="both"/>
      </w:pPr>
      <w:r>
        <w:rPr>
          <w:rStyle w:val="CharStyle12"/>
        </w:rPr>
        <w:t>Также, Заявителем не представлено доказательств, подтверждающих его позицию по указанному доводу жалобы.</w:t>
      </w:r>
    </w:p>
    <w:p>
      <w:pPr>
        <w:pStyle w:val="Style11"/>
        <w:keepNext w:val="0"/>
        <w:keepLines w:val="0"/>
        <w:widowControl w:val="0"/>
        <w:shd w:val="clear" w:color="auto" w:fill="auto"/>
        <w:bidi w:val="0"/>
        <w:spacing w:before="0" w:after="280" w:line="240" w:lineRule="auto"/>
        <w:ind w:left="0" w:right="0" w:firstLine="560"/>
        <w:jc w:val="both"/>
      </w:pPr>
      <w:r>
        <w:rPr>
          <w:rStyle w:val="CharStyle12"/>
        </w:rPr>
        <w:t>Следовательно, довод жалобы Заявителя является необоснованным.</w:t>
      </w:r>
    </w:p>
    <w:p>
      <w:pPr>
        <w:pStyle w:val="Style11"/>
        <w:keepNext w:val="0"/>
        <w:keepLines w:val="0"/>
        <w:widowControl w:val="0"/>
        <w:shd w:val="clear" w:color="auto" w:fill="auto"/>
        <w:bidi w:val="0"/>
        <w:spacing w:before="0" w:after="0" w:line="240" w:lineRule="auto"/>
        <w:ind w:left="0" w:right="0" w:firstLine="560"/>
        <w:jc w:val="both"/>
      </w:pPr>
      <w:r>
        <w:rPr>
          <w:rStyle w:val="CharStyle12"/>
        </w:rPr>
        <w:t xml:space="preserve">Согласно жалобе Заявителя, Заказчиком не установлены ограничения по Постановлению Правительства Российской Федерации от </w:t>
      </w:r>
      <w:r>
        <w:rPr>
          <w:rStyle w:val="CharStyle12"/>
          <w:lang w:val="en-US" w:eastAsia="en-US"/>
        </w:rPr>
        <w:t xml:space="preserve">10 </w:t>
      </w:r>
      <w:r>
        <w:rPr>
          <w:rStyle w:val="CharStyle12"/>
        </w:rPr>
        <w:t xml:space="preserve">июля </w:t>
      </w:r>
      <w:r>
        <w:rPr>
          <w:rStyle w:val="CharStyle12"/>
          <w:lang w:val="en-US" w:eastAsia="en-US"/>
        </w:rPr>
        <w:t xml:space="preserve">2019 </w:t>
      </w:r>
      <w:r>
        <w:rPr>
          <w:rStyle w:val="CharStyle12"/>
        </w:rPr>
        <w:t xml:space="preserve">г. </w:t>
      </w:r>
      <w:r>
        <w:rPr>
          <w:rStyle w:val="CharStyle12"/>
          <w:lang w:val="en-US" w:eastAsia="en-US"/>
        </w:rPr>
        <w:t xml:space="preserve">№878 </w:t>
      </w:r>
      <w:r>
        <w:rPr>
          <w:rStyle w:val="CharStyle12"/>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№925 </w:t>
      </w:r>
      <w:r>
        <w:rPr>
          <w:rStyle w:val="CharStyle12"/>
        </w:rPr>
        <w:t xml:space="preserve">и признании утратившими силу некоторых актов Правительства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№878), </w:t>
      </w:r>
      <w:r>
        <w:rPr>
          <w:rStyle w:val="CharStyle12"/>
        </w:rPr>
        <w:t>и не установлены условия допуска в</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соответствии с Приказом Минфина России от </w:t>
      </w:r>
      <w:r>
        <w:rPr>
          <w:rStyle w:val="CharStyle12"/>
          <w:lang w:val="en-US" w:eastAsia="en-US"/>
        </w:rPr>
        <w:t xml:space="preserve">04.06.2018 </w:t>
      </w:r>
      <w:r>
        <w:rPr>
          <w:rStyle w:val="CharStyle12"/>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w:t>
      </w:r>
      <w:r>
        <w:rPr>
          <w:rStyle w:val="CharStyle12"/>
          <w:lang w:val="en-US" w:eastAsia="en-US"/>
        </w:rPr>
        <w:t xml:space="preserve">– </w:t>
      </w:r>
      <w:r>
        <w:rPr>
          <w:rStyle w:val="CharStyle12"/>
        </w:rPr>
        <w:t>Приказ №126н).</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 </w:t>
      </w:r>
      <w:r>
        <w:rPr>
          <w:rStyle w:val="CharStyle12"/>
          <w:lang w:val="en-US" w:eastAsia="en-US"/>
        </w:rPr>
        <w:t xml:space="preserve">01.01.2025 </w:t>
      </w:r>
      <w:r>
        <w:rPr>
          <w:rStyle w:val="CharStyle12"/>
        </w:rPr>
        <w:t xml:space="preserve">года вступило в силу Постановление Правительства Российской Федерации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этом, в соответствии с пунктом </w:t>
      </w:r>
      <w:r>
        <w:rPr>
          <w:rStyle w:val="CharStyle12"/>
          <w:lang w:val="en-US" w:eastAsia="en-US"/>
        </w:rPr>
        <w:t xml:space="preserve">18 </w:t>
      </w:r>
      <w:r>
        <w:rPr>
          <w:rStyle w:val="CharStyle12"/>
        </w:rPr>
        <w:t xml:space="preserve">Перечня утративших силу актов и отдельных положений актов Правительства Российской Федерации, утвержденного Постановлением </w:t>
      </w:r>
      <w:r>
        <w:rPr>
          <w:rStyle w:val="CharStyle12"/>
          <w:lang w:val="en-US" w:eastAsia="en-US"/>
        </w:rPr>
        <w:t xml:space="preserve">№1875, </w:t>
      </w:r>
      <w:r>
        <w:rPr>
          <w:rStyle w:val="CharStyle12"/>
        </w:rPr>
        <w:t xml:space="preserve">с </w:t>
      </w:r>
      <w:r>
        <w:rPr>
          <w:rStyle w:val="CharStyle12"/>
          <w:lang w:val="en-US" w:eastAsia="en-US"/>
        </w:rPr>
        <w:t xml:space="preserve">01.01.2025 </w:t>
      </w:r>
      <w:r>
        <w:rPr>
          <w:rStyle w:val="CharStyle12"/>
        </w:rPr>
        <w:t xml:space="preserve">года утратили силу абзацы четвертый и пятый пункта </w:t>
      </w:r>
      <w:r>
        <w:rPr>
          <w:rStyle w:val="CharStyle12"/>
          <w:lang w:val="en-US" w:eastAsia="en-US"/>
        </w:rPr>
        <w:t xml:space="preserve">2, </w:t>
      </w:r>
      <w:r>
        <w:rPr>
          <w:rStyle w:val="CharStyle12"/>
        </w:rPr>
        <w:t xml:space="preserve">пункты </w:t>
      </w:r>
      <w:r>
        <w:rPr>
          <w:rStyle w:val="CharStyle12"/>
          <w:lang w:val="en-US" w:eastAsia="en-US"/>
        </w:rPr>
        <w:t xml:space="preserve">3 - 3(3), 6 - 8 </w:t>
      </w:r>
      <w:r>
        <w:rPr>
          <w:rStyle w:val="CharStyle12"/>
        </w:rPr>
        <w:t xml:space="preserve">и </w:t>
      </w:r>
      <w:r>
        <w:rPr>
          <w:rStyle w:val="CharStyle12"/>
          <w:lang w:val="en-US" w:eastAsia="en-US"/>
        </w:rPr>
        <w:t xml:space="preserve">10 </w:t>
      </w:r>
      <w:r>
        <w:rPr>
          <w:rStyle w:val="CharStyle12"/>
        </w:rPr>
        <w:t xml:space="preserve">Постановления </w:t>
      </w:r>
      <w:r>
        <w:rPr>
          <w:rStyle w:val="CharStyle12"/>
          <w:lang w:val="en-US" w:eastAsia="en-US"/>
        </w:rPr>
        <w:t xml:space="preserve">№878, </w:t>
      </w:r>
      <w:r>
        <w:rPr>
          <w:rStyle w:val="CharStyle12"/>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вносились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№925, </w:t>
      </w:r>
      <w:r>
        <w:rPr>
          <w:rStyle w:val="CharStyle12"/>
        </w:rPr>
        <w:t xml:space="preserve">утвержденные Постановлением </w:t>
      </w:r>
      <w:r>
        <w:rPr>
          <w:rStyle w:val="CharStyle12"/>
          <w:lang w:val="en-US" w:eastAsia="en-US"/>
        </w:rPr>
        <w:t>№878.</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Также, указанный Заявителем Приказ №126н также утратил силу с </w:t>
      </w:r>
      <w:r>
        <w:rPr>
          <w:rStyle w:val="CharStyle12"/>
          <w:lang w:val="en-US" w:eastAsia="en-US"/>
        </w:rPr>
        <w:t xml:space="preserve">01.01.2025 </w:t>
      </w:r>
      <w:r>
        <w:rPr>
          <w:rStyle w:val="CharStyle12"/>
        </w:rPr>
        <w:t xml:space="preserve">года в связи с изданием Приказа Министерства финансов Российской Федерации от </w:t>
      </w:r>
      <w:r>
        <w:rPr>
          <w:rStyle w:val="CharStyle12"/>
          <w:lang w:val="en-US" w:eastAsia="en-US"/>
        </w:rPr>
        <w:t xml:space="preserve">08.10.2024 </w:t>
      </w:r>
      <w:r>
        <w:rPr>
          <w:rStyle w:val="CharStyle12"/>
        </w:rPr>
        <w:t xml:space="preserve">№149н «О признании утратившими силу приказа Министерства финансов Российской Федерации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Извещение о проведении оспариваемой закупки размещено в ЕИС </w:t>
      </w:r>
      <w:r>
        <w:rPr>
          <w:rStyle w:val="CharStyle12"/>
          <w:lang w:val="en-US" w:eastAsia="en-US"/>
        </w:rPr>
        <w:t xml:space="preserve">30.04.2026 </w:t>
      </w:r>
      <w:r>
        <w:rPr>
          <w:rStyle w:val="CharStyle12"/>
        </w:rPr>
        <w:t>года.</w:t>
      </w:r>
    </w:p>
    <w:p>
      <w:pPr>
        <w:pStyle w:val="Style11"/>
        <w:keepNext w:val="0"/>
        <w:keepLines w:val="0"/>
        <w:widowControl w:val="0"/>
        <w:shd w:val="clear" w:color="auto" w:fill="auto"/>
        <w:bidi w:val="0"/>
        <w:spacing w:before="0" w:after="280" w:line="240" w:lineRule="auto"/>
        <w:ind w:left="0" w:right="0" w:firstLine="720"/>
        <w:jc w:val="both"/>
      </w:pPr>
      <w:r>
        <w:rPr>
          <w:rStyle w:val="CharStyle12"/>
        </w:rPr>
        <w:t xml:space="preserve">Таким образом, положения Постановления </w:t>
      </w:r>
      <w:r>
        <w:rPr>
          <w:rStyle w:val="CharStyle12"/>
          <w:lang w:val="en-US" w:eastAsia="en-US"/>
        </w:rPr>
        <w:t xml:space="preserve">№878 </w:t>
      </w:r>
      <w:r>
        <w:rPr>
          <w:rStyle w:val="CharStyle12"/>
        </w:rPr>
        <w:t>и Приказа №126н к настоящей закупке не применимы, а довод жалобы является необоснованным.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Кроме того, по мнению Заявителя, Заказчик неправомерно установил и не применил ограничение закупки товаров, происходящих из иностранных государств, по Постановлению </w:t>
      </w:r>
      <w:r>
        <w:rPr>
          <w:rStyle w:val="CharStyle12"/>
          <w:lang w:val="en-US" w:eastAsia="en-US"/>
        </w:rPr>
        <w:t xml:space="preserve">№1875, </w:t>
      </w:r>
      <w:r>
        <w:rPr>
          <w:rStyle w:val="CharStyle12"/>
        </w:rPr>
        <w:t>поскольку описанию объекта закупки не соответствует ни один из товаров, размещенных в реестре российской радиоэлектронной продукции.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Довод жалобы Заявителя не обоснован по следующим основаниям.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Пунктом </w:t>
      </w:r>
      <w:r>
        <w:rPr>
          <w:rStyle w:val="CharStyle12"/>
          <w:lang w:val="en-US" w:eastAsia="en-US"/>
        </w:rPr>
        <w:t xml:space="preserve">15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42 </w:t>
      </w:r>
      <w:r>
        <w:rPr>
          <w:rStyle w:val="CharStyle12"/>
        </w:rPr>
        <w:t>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части </w:t>
      </w:r>
      <w:r>
        <w:rPr>
          <w:rStyle w:val="CharStyle12"/>
          <w:lang w:val="en-US" w:eastAsia="en-US"/>
        </w:rPr>
        <w:t xml:space="preserve">1 </w:t>
      </w:r>
      <w:r>
        <w:rPr>
          <w:rStyle w:val="CharStyle12"/>
        </w:rPr>
        <w:t xml:space="preserve">статьи </w:t>
      </w:r>
      <w:r>
        <w:rPr>
          <w:rStyle w:val="CharStyle12"/>
          <w:lang w:val="en-US" w:eastAsia="en-US"/>
        </w:rPr>
        <w:t xml:space="preserve">14 </w:t>
      </w:r>
      <w:r>
        <w:rPr>
          <w:rStyle w:val="CharStyle12"/>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 xml:space="preserve">российское лицо), за исключением случаев принятия Правительством Российской Федерации мер, предусмотренных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настоящей статьи.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подпункту «в» пункта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 xml:space="preserve">Закона о контрактной системе Правительство Российской Федерации вправе с учетом положений части </w:t>
      </w:r>
      <w:r>
        <w:rPr>
          <w:rStyle w:val="CharStyle12"/>
          <w:lang w:val="en-US" w:eastAsia="en-US"/>
        </w:rPr>
        <w:t xml:space="preserve">3 </w:t>
      </w:r>
      <w:r>
        <w:rPr>
          <w:rStyle w:val="CharStyle12"/>
        </w:rPr>
        <w:t>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пунктом </w:t>
      </w:r>
      <w:r>
        <w:rPr>
          <w:rStyle w:val="CharStyle12"/>
          <w:lang w:val="en-US" w:eastAsia="en-US"/>
        </w:rPr>
        <w:t xml:space="preserve">3 </w:t>
      </w:r>
      <w:r>
        <w:rPr>
          <w:rStyle w:val="CharStyle12"/>
        </w:rPr>
        <w:t xml:space="preserve">части </w:t>
      </w:r>
      <w:r>
        <w:rPr>
          <w:rStyle w:val="CharStyle12"/>
          <w:lang w:val="en-US" w:eastAsia="en-US"/>
        </w:rPr>
        <w:t xml:space="preserve">4 </w:t>
      </w:r>
      <w:r>
        <w:rPr>
          <w:rStyle w:val="CharStyle12"/>
        </w:rPr>
        <w:t xml:space="preserve">статьи </w:t>
      </w:r>
      <w:r>
        <w:rPr>
          <w:rStyle w:val="CharStyle12"/>
          <w:lang w:val="en-US" w:eastAsia="en-US"/>
        </w:rPr>
        <w:t xml:space="preserve">14 </w:t>
      </w:r>
      <w:r>
        <w:rPr>
          <w:rStyle w:val="CharStyle12"/>
        </w:rPr>
        <w:t xml:space="preserve">Закона о контрактной системе при осуществлении закупки товара, если Правительством Российской Федерации установлено предусмотренное подпунктом «в» пункта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настоящей статьи преимущество в отношении товара российского происхождения:</w:t>
      </w:r>
    </w:p>
    <w:p>
      <w:pPr>
        <w:pStyle w:val="Style11"/>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rStyle w:val="CharStyle12"/>
        </w:rPr>
        <w:t xml:space="preserve">при присвоении в соответствии с подпунктом «б» пункта </w:t>
      </w:r>
      <w:r>
        <w:rPr>
          <w:rStyle w:val="CharStyle12"/>
          <w:lang w:val="en-US" w:eastAsia="en-US"/>
        </w:rPr>
        <w:t xml:space="preserve">1 </w:t>
      </w:r>
      <w:r>
        <w:rPr>
          <w:rStyle w:val="CharStyle12"/>
        </w:rPr>
        <w:t xml:space="preserve">части </w:t>
      </w:r>
      <w:r>
        <w:rPr>
          <w:rStyle w:val="CharStyle12"/>
          <w:lang w:val="en-US" w:eastAsia="en-US"/>
        </w:rPr>
        <w:t xml:space="preserve">15 </w:t>
      </w:r>
      <w:r>
        <w:rPr>
          <w:rStyle w:val="CharStyle12"/>
        </w:rPr>
        <w:t xml:space="preserve">статьи </w:t>
      </w:r>
      <w:r>
        <w:rPr>
          <w:rStyle w:val="CharStyle12"/>
          <w:lang w:val="en-US" w:eastAsia="en-US"/>
        </w:rPr>
        <w:t xml:space="preserve">48, </w:t>
      </w:r>
      <w:r>
        <w:rPr>
          <w:rStyle w:val="CharStyle12"/>
        </w:rPr>
        <w:t xml:space="preserve">подпунктом «б» пункта </w:t>
      </w:r>
      <w:r>
        <w:rPr>
          <w:rStyle w:val="CharStyle12"/>
          <w:lang w:val="en-US" w:eastAsia="en-US"/>
        </w:rPr>
        <w:t xml:space="preserve">1 </w:t>
      </w:r>
      <w:r>
        <w:rPr>
          <w:rStyle w:val="CharStyle12"/>
        </w:rPr>
        <w:t xml:space="preserve">части </w:t>
      </w:r>
      <w:r>
        <w:rPr>
          <w:rStyle w:val="CharStyle12"/>
          <w:lang w:val="en-US" w:eastAsia="en-US"/>
        </w:rPr>
        <w:t xml:space="preserve">5 </w:t>
      </w:r>
      <w:r>
        <w:rPr>
          <w:rStyle w:val="CharStyle12"/>
        </w:rPr>
        <w:t xml:space="preserve">статьи </w:t>
      </w:r>
      <w:r>
        <w:rPr>
          <w:rStyle w:val="CharStyle12"/>
          <w:lang w:val="en-US" w:eastAsia="en-US"/>
        </w:rPr>
        <w:t xml:space="preserve">49, </w:t>
      </w:r>
      <w:r>
        <w:rPr>
          <w:rStyle w:val="CharStyle12"/>
        </w:rPr>
        <w:t xml:space="preserve">подпунктом «б» пункта </w:t>
      </w:r>
      <w:r>
        <w:rPr>
          <w:rStyle w:val="CharStyle12"/>
          <w:lang w:val="en-US" w:eastAsia="en-US"/>
        </w:rPr>
        <w:t xml:space="preserve">1 </w:t>
      </w:r>
      <w:r>
        <w:rPr>
          <w:rStyle w:val="CharStyle12"/>
        </w:rPr>
        <w:t xml:space="preserve">части </w:t>
      </w:r>
      <w:r>
        <w:rPr>
          <w:rStyle w:val="CharStyle12"/>
          <w:lang w:val="en-US" w:eastAsia="en-US"/>
        </w:rPr>
        <w:t xml:space="preserve">3 </w:t>
      </w:r>
      <w:r>
        <w:rPr>
          <w:rStyle w:val="CharStyle12"/>
        </w:rPr>
        <w:t xml:space="preserve">статьи </w:t>
      </w:r>
      <w:r>
        <w:rPr>
          <w:rStyle w:val="CharStyle12"/>
          <w:lang w:val="en-US" w:eastAsia="en-US"/>
        </w:rPr>
        <w:t xml:space="preserve">50, </w:t>
      </w:r>
      <w:r>
        <w:rPr>
          <w:rStyle w:val="CharStyle12"/>
        </w:rPr>
        <w:t xml:space="preserve">подпунктом «в» пункта </w:t>
      </w:r>
      <w:r>
        <w:rPr>
          <w:rStyle w:val="CharStyle12"/>
          <w:lang w:val="en-US" w:eastAsia="en-US"/>
        </w:rPr>
        <w:t xml:space="preserve">1 </w:t>
      </w:r>
      <w:r>
        <w:rPr>
          <w:rStyle w:val="CharStyle12"/>
        </w:rPr>
        <w:t xml:space="preserve">части </w:t>
      </w:r>
      <w:r>
        <w:rPr>
          <w:rStyle w:val="CharStyle12"/>
          <w:lang w:val="en-US" w:eastAsia="en-US"/>
        </w:rPr>
        <w:t xml:space="preserve">10 </w:t>
      </w:r>
      <w:r>
        <w:rPr>
          <w:rStyle w:val="CharStyle12"/>
        </w:rPr>
        <w:t xml:space="preserve">статьи </w:t>
      </w:r>
      <w:r>
        <w:rPr>
          <w:rStyle w:val="CharStyle12"/>
          <w:lang w:val="en-US" w:eastAsia="en-US"/>
        </w:rPr>
        <w:t xml:space="preserve">73, </w:t>
      </w:r>
      <w:r>
        <w:rPr>
          <w:rStyle w:val="CharStyle12"/>
        </w:rPr>
        <w:t xml:space="preserve">пунктом </w:t>
      </w:r>
      <w:r>
        <w:rPr>
          <w:rStyle w:val="CharStyle12"/>
          <w:lang w:val="en-US" w:eastAsia="en-US"/>
        </w:rPr>
        <w:t xml:space="preserve">1 </w:t>
      </w:r>
      <w:r>
        <w:rPr>
          <w:rStyle w:val="CharStyle12"/>
        </w:rPr>
        <w:t xml:space="preserve">части </w:t>
      </w:r>
      <w:r>
        <w:rPr>
          <w:rStyle w:val="CharStyle12"/>
          <w:lang w:val="en-US" w:eastAsia="en-US"/>
        </w:rPr>
        <w:t xml:space="preserve">5 </w:t>
      </w:r>
      <w:r>
        <w:rPr>
          <w:rStyle w:val="CharStyle12"/>
        </w:rPr>
        <w:t xml:space="preserve">статьи </w:t>
      </w:r>
      <w:r>
        <w:rPr>
          <w:rStyle w:val="CharStyle12"/>
          <w:lang w:val="en-US" w:eastAsia="en-US"/>
        </w:rPr>
        <w:t xml:space="preserve">74, </w:t>
      </w:r>
      <w:r>
        <w:rPr>
          <w:rStyle w:val="CharStyle12"/>
        </w:rPr>
        <w:t xml:space="preserve">подпунктом «в» пункта </w:t>
      </w:r>
      <w:r>
        <w:rPr>
          <w:rStyle w:val="CharStyle12"/>
          <w:lang w:val="en-US" w:eastAsia="en-US"/>
        </w:rPr>
        <w:t xml:space="preserve">1 </w:t>
      </w:r>
      <w:r>
        <w:rPr>
          <w:rStyle w:val="CharStyle12"/>
        </w:rPr>
        <w:t xml:space="preserve">части </w:t>
      </w:r>
      <w:r>
        <w:rPr>
          <w:rStyle w:val="CharStyle12"/>
          <w:lang w:val="en-US" w:eastAsia="en-US"/>
        </w:rPr>
        <w:t xml:space="preserve">9 </w:t>
      </w:r>
      <w:r>
        <w:rPr>
          <w:rStyle w:val="CharStyle12"/>
        </w:rPr>
        <w:t xml:space="preserve">статьи </w:t>
      </w:r>
      <w:r>
        <w:rPr>
          <w:rStyle w:val="CharStyle12"/>
          <w:lang w:val="en-US" w:eastAsia="en-US"/>
        </w:rPr>
        <w:t xml:space="preserve">75, </w:t>
      </w:r>
      <w:r>
        <w:rPr>
          <w:rStyle w:val="CharStyle12"/>
        </w:rPr>
        <w:t xml:space="preserve">подпунктом «б» пункта </w:t>
      </w:r>
      <w:r>
        <w:rPr>
          <w:rStyle w:val="CharStyle12"/>
          <w:lang w:val="en-US" w:eastAsia="en-US"/>
        </w:rPr>
        <w:t xml:space="preserve">1 </w:t>
      </w:r>
      <w:r>
        <w:rPr>
          <w:rStyle w:val="CharStyle12"/>
        </w:rPr>
        <w:t xml:space="preserve">части </w:t>
      </w:r>
      <w:r>
        <w:rPr>
          <w:rStyle w:val="CharStyle12"/>
          <w:lang w:val="en-US" w:eastAsia="en-US"/>
        </w:rPr>
        <w:t xml:space="preserve">5 </w:t>
      </w:r>
      <w:r>
        <w:rPr>
          <w:rStyle w:val="CharStyle12"/>
        </w:rPr>
        <w:t xml:space="preserve">статьи </w:t>
      </w:r>
      <w:r>
        <w:rPr>
          <w:rStyle w:val="CharStyle12"/>
          <w:lang w:val="en-US" w:eastAsia="en-US"/>
        </w:rPr>
        <w:t xml:space="preserve">76 </w:t>
      </w:r>
      <w:r>
        <w:rPr>
          <w:rStyle w:val="CharStyle12"/>
        </w:rPr>
        <w:t xml:space="preserve">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подпунктом «б» пункта </w:t>
      </w:r>
      <w:r>
        <w:rPr>
          <w:rStyle w:val="CharStyle12"/>
          <w:lang w:val="en-US" w:eastAsia="en-US"/>
        </w:rPr>
        <w:t xml:space="preserve">6 </w:t>
      </w:r>
      <w:r>
        <w:rPr>
          <w:rStyle w:val="CharStyle12"/>
        </w:rPr>
        <w:t xml:space="preserve">части </w:t>
      </w:r>
      <w:r>
        <w:rPr>
          <w:rStyle w:val="CharStyle12"/>
          <w:lang w:val="en-US" w:eastAsia="en-US"/>
        </w:rPr>
        <w:t xml:space="preserve">12 </w:t>
      </w:r>
      <w:r>
        <w:rPr>
          <w:rStyle w:val="CharStyle12"/>
        </w:rPr>
        <w:t xml:space="preserve">статьи </w:t>
      </w:r>
      <w:r>
        <w:rPr>
          <w:rStyle w:val="CharStyle12"/>
          <w:lang w:val="en-US" w:eastAsia="en-US"/>
        </w:rPr>
        <w:t xml:space="preserve">93 </w:t>
      </w:r>
      <w:r>
        <w:rPr>
          <w:rStyle w:val="CharStyle12"/>
        </w:rPr>
        <w:t>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pPr>
        <w:pStyle w:val="Style11"/>
        <w:keepNext w:val="0"/>
        <w:keepLines w:val="0"/>
        <w:widowControl w:val="0"/>
        <w:numPr>
          <w:ilvl w:val="0"/>
          <w:numId w:val="7"/>
        </w:numPr>
        <w:shd w:val="clear" w:color="auto" w:fill="auto"/>
        <w:tabs>
          <w:tab w:pos="1742" w:val="left"/>
        </w:tabs>
        <w:bidi w:val="0"/>
        <w:spacing w:before="0" w:after="0" w:line="240" w:lineRule="auto"/>
        <w:ind w:left="0" w:right="0" w:firstLine="720"/>
        <w:jc w:val="both"/>
      </w:pPr>
      <w:r>
        <w:rPr>
          <w:rStyle w:val="CharStyle12"/>
        </w:rPr>
        <w:t>в случае заключения контракта с участником закупки, указанным в</w:t>
      </w:r>
    </w:p>
    <w:p>
      <w:pPr>
        <w:pStyle w:val="Style11"/>
        <w:keepNext w:val="0"/>
        <w:keepLines w:val="0"/>
        <w:widowControl w:val="0"/>
        <w:shd w:val="clear" w:color="auto" w:fill="auto"/>
        <w:bidi w:val="0"/>
        <w:spacing w:before="0" w:after="0" w:line="240" w:lineRule="auto"/>
        <w:ind w:left="0" w:right="0" w:firstLine="0"/>
        <w:jc w:val="both"/>
      </w:pPr>
      <w:r>
        <w:rPr>
          <w:rStyle w:val="CharStyle12"/>
        </w:rPr>
        <w:t>подпункте «а» настоящего пункта, контракт заключается без учета осуществленных в соответствии с подпунктом «а» настоящего пункта снижения ценового предложения, цены за единицу товара либо увеличения ценового предложения;</w:t>
      </w:r>
    </w:p>
    <w:p>
      <w:pPr>
        <w:pStyle w:val="Style11"/>
        <w:keepNext w:val="0"/>
        <w:keepLines w:val="0"/>
        <w:widowControl w:val="0"/>
        <w:numPr>
          <w:ilvl w:val="0"/>
          <w:numId w:val="7"/>
        </w:numPr>
        <w:shd w:val="clear" w:color="auto" w:fill="auto"/>
        <w:tabs>
          <w:tab w:pos="1076" w:val="left"/>
        </w:tabs>
        <w:bidi w:val="0"/>
        <w:spacing w:before="0" w:after="0" w:line="240" w:lineRule="auto"/>
        <w:ind w:left="0" w:right="0" w:firstLine="720"/>
        <w:jc w:val="both"/>
      </w:pPr>
      <w:r>
        <w:rPr>
          <w:rStyle w:val="CharStyle12"/>
        </w:rPr>
        <w:t xml:space="preserve">при исполнении контракта допускается замена товара (с учетом особенностей, предусмотренных частью </w:t>
      </w:r>
      <w:r>
        <w:rPr>
          <w:rStyle w:val="CharStyle12"/>
          <w:lang w:val="en-US" w:eastAsia="en-US"/>
        </w:rPr>
        <w:t xml:space="preserve">7 </w:t>
      </w:r>
      <w:r>
        <w:rPr>
          <w:rStyle w:val="CharStyle12"/>
        </w:rPr>
        <w:t xml:space="preserve">статьи </w:t>
      </w:r>
      <w:r>
        <w:rPr>
          <w:rStyle w:val="CharStyle12"/>
          <w:lang w:val="en-US" w:eastAsia="en-US"/>
        </w:rPr>
        <w:t xml:space="preserve">95 </w:t>
      </w:r>
      <w:r>
        <w:rPr>
          <w:rStyle w:val="CharStyle12"/>
        </w:rPr>
        <w:t>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Постановлением </w:t>
      </w:r>
      <w:r>
        <w:rPr>
          <w:rStyle w:val="CharStyle12"/>
          <w:lang w:val="en-US" w:eastAsia="en-US"/>
        </w:rPr>
        <w:t xml:space="preserve">№1875 </w:t>
      </w:r>
      <w:r>
        <w:rPr>
          <w:rStyle w:val="CharStyle12"/>
        </w:rPr>
        <w:t>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установлено преимущество и ограничение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Объектом рассматриваемой закупки является в т.ч. поставка эндоскопической системы включенную в позицию </w:t>
      </w:r>
      <w:r>
        <w:rPr>
          <w:rStyle w:val="CharStyle12"/>
          <w:lang w:val="en-US" w:eastAsia="en-US"/>
        </w:rPr>
        <w:t xml:space="preserve">300 </w:t>
      </w:r>
      <w:r>
        <w:rPr>
          <w:rStyle w:val="CharStyle12"/>
        </w:rPr>
        <w:t xml:space="preserve">приложения </w:t>
      </w:r>
      <w:r>
        <w:rPr>
          <w:rStyle w:val="CharStyle12"/>
          <w:lang w:val="en-US" w:eastAsia="en-US"/>
        </w:rPr>
        <w:t xml:space="preserve">№2 </w:t>
      </w:r>
      <w:r>
        <w:rPr>
          <w:rStyle w:val="CharStyle12"/>
        </w:rPr>
        <w:t xml:space="preserve">к Постановлению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960"/>
        <w:jc w:val="both"/>
      </w:pPr>
      <w:r>
        <w:rPr>
          <w:rStyle w:val="CharStyle12"/>
        </w:rPr>
        <w:t>Таким образом, Заказчиком в извещении об осуществлении закупки обосновано установлено ограничение в отношении товаров российского происхождения.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этом, в силу части </w:t>
      </w:r>
      <w:r>
        <w:rPr>
          <w:rStyle w:val="CharStyle12"/>
          <w:lang w:val="en-US" w:eastAsia="en-US"/>
        </w:rPr>
        <w:t xml:space="preserve">1.1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14 </w:t>
      </w:r>
      <w:r>
        <w:rPr>
          <w:rStyle w:val="CharStyle12"/>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Подпунктом «а» пункта </w:t>
      </w:r>
      <w:r>
        <w:rPr>
          <w:rStyle w:val="CharStyle12"/>
          <w:lang w:val="en-US" w:eastAsia="en-US"/>
        </w:rPr>
        <w:t xml:space="preserve">7 </w:t>
      </w:r>
      <w:r>
        <w:rPr>
          <w:rStyle w:val="CharStyle12"/>
        </w:rPr>
        <w:t xml:space="preserve">Постановления </w:t>
      </w:r>
      <w:r>
        <w:rPr>
          <w:rStyle w:val="CharStyle12"/>
          <w:lang w:val="en-US" w:eastAsia="en-US"/>
        </w:rPr>
        <w:t xml:space="preserve">№1875 </w:t>
      </w:r>
      <w:r>
        <w:rPr>
          <w:rStyle w:val="CharStyle12"/>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для служебного пользования;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осуществлении закупки товаров, указанных в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 xml:space="preserve">к настоящему постановлению, </w:t>
      </w:r>
      <w:r>
        <w:rPr>
          <w:rStyle w:val="CharStyle12"/>
          <w:lang w:val="en-US" w:eastAsia="en-US"/>
        </w:rPr>
        <w:t xml:space="preserve">- </w:t>
      </w:r>
      <w:r>
        <w:rPr>
          <w:rStyle w:val="CharStyle12"/>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осуществлении закупки товаров, не указанных в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№1 </w:t>
      </w:r>
      <w:r>
        <w:rPr>
          <w:rStyle w:val="CharStyle12"/>
        </w:rPr>
        <w:t xml:space="preserve">к настоящему постановлению,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 xml:space="preserve">к настоящему постановлению, </w:t>
      </w:r>
      <w:r>
        <w:rPr>
          <w:rStyle w:val="CharStyle12"/>
          <w:lang w:val="en-US" w:eastAsia="en-US"/>
        </w:rPr>
        <w:t xml:space="preserve">- </w:t>
      </w:r>
      <w:r>
        <w:rPr>
          <w:rStyle w:val="CharStyle12"/>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Заявителем не представлено доказательств наличия в реестре российской промышленной продукции товара с характеристиками, указанными Заказчиком в описании объекта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то время как Заказчиком исполнены требования абзаца </w:t>
      </w:r>
      <w:r>
        <w:rPr>
          <w:rStyle w:val="CharStyle12"/>
          <w:lang w:val="en-US" w:eastAsia="en-US"/>
        </w:rPr>
        <w:t xml:space="preserve">3 </w:t>
      </w:r>
      <w:r>
        <w:rPr>
          <w:rStyle w:val="CharStyle12"/>
        </w:rPr>
        <w:t xml:space="preserve">подпункта «а» пункта </w:t>
      </w:r>
      <w:r>
        <w:rPr>
          <w:rStyle w:val="CharStyle12"/>
          <w:lang w:val="en-US" w:eastAsia="en-US"/>
        </w:rPr>
        <w:t xml:space="preserve">7 </w:t>
      </w:r>
      <w:r>
        <w:rPr>
          <w:rStyle w:val="CharStyle12"/>
        </w:rPr>
        <w:t xml:space="preserve">Постановления </w:t>
      </w:r>
      <w:r>
        <w:rPr>
          <w:rStyle w:val="CharStyle12"/>
          <w:lang w:val="en-US" w:eastAsia="en-US"/>
        </w:rPr>
        <w:t xml:space="preserve">№1875, </w:t>
      </w:r>
      <w:r>
        <w:rPr>
          <w:rStyle w:val="CharStyle12"/>
        </w:rPr>
        <w:t>а именно, продекларирован в извещении об осуществлении закупки факт отсутствия в реестре российской промышленной продукции товара с характеристиками, соответствующими потребности Заказчика, в описании объекта закупки указаны характеристики товара, потребность в котором имеется у Заказчика и который отсутствует в реестре российской промышленной продукции.</w:t>
      </w:r>
    </w:p>
    <w:p>
      <w:pPr>
        <w:pStyle w:val="Style11"/>
        <w:keepNext w:val="0"/>
        <w:keepLines w:val="0"/>
        <w:widowControl w:val="0"/>
        <w:shd w:val="clear" w:color="auto" w:fill="auto"/>
        <w:bidi w:val="0"/>
        <w:spacing w:before="0" w:after="280" w:line="240" w:lineRule="auto"/>
        <w:ind w:left="0" w:right="0" w:firstLine="720"/>
        <w:jc w:val="both"/>
      </w:pPr>
      <w:r>
        <w:rPr>
          <w:rStyle w:val="CharStyle12"/>
        </w:rPr>
        <w:t xml:space="preserve">Таким образом, действия Заказчика не противоречат нормам Постановления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Также, по мнению Заявителя, Заказчиком необоснованно ограничена конкуренция при формировании описания объекта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пункту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9"/>
        </w:numPr>
        <w:shd w:val="clear" w:color="auto" w:fill="auto"/>
        <w:tabs>
          <w:tab w:pos="1091" w:val="left"/>
        </w:tabs>
        <w:bidi w:val="0"/>
        <w:spacing w:before="0" w:after="0" w:line="240" w:lineRule="auto"/>
        <w:ind w:left="0" w:right="0" w:firstLine="740"/>
        <w:jc w:val="both"/>
      </w:pPr>
      <w:r>
        <w:rPr>
          <w:rStyle w:val="CharStyle12"/>
        </w:rPr>
        <w:t>сопровождение такого указания словами «или эквивалент»;</w:t>
      </w:r>
    </w:p>
    <w:p>
      <w:pPr>
        <w:pStyle w:val="Style11"/>
        <w:keepNext w:val="0"/>
        <w:keepLines w:val="0"/>
        <w:widowControl w:val="0"/>
        <w:numPr>
          <w:ilvl w:val="0"/>
          <w:numId w:val="9"/>
        </w:numPr>
        <w:shd w:val="clear" w:color="auto" w:fill="auto"/>
        <w:tabs>
          <w:tab w:pos="1126" w:val="left"/>
        </w:tabs>
        <w:bidi w:val="0"/>
        <w:spacing w:before="0" w:after="0" w:line="240" w:lineRule="auto"/>
        <w:ind w:left="0" w:right="0" w:firstLine="74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9"/>
        </w:numPr>
        <w:shd w:val="clear" w:color="auto" w:fill="auto"/>
        <w:tabs>
          <w:tab w:pos="1126" w:val="left"/>
        </w:tabs>
        <w:bidi w:val="0"/>
        <w:spacing w:before="0" w:after="0" w:line="240" w:lineRule="auto"/>
        <w:ind w:left="0" w:right="0" w:firstLine="74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9"/>
        </w:numPr>
        <w:shd w:val="clear" w:color="auto" w:fill="auto"/>
        <w:tabs>
          <w:tab w:pos="1126" w:val="left"/>
        </w:tabs>
        <w:bidi w:val="0"/>
        <w:spacing w:before="0" w:after="0" w:line="240" w:lineRule="auto"/>
        <w:ind w:left="0" w:right="0" w:firstLine="74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Пунктом </w:t>
      </w:r>
      <w:r>
        <w:rPr>
          <w:rStyle w:val="CharStyle12"/>
          <w:lang w:val="en-US" w:eastAsia="en-US"/>
        </w:rPr>
        <w:t xml:space="preserve">2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Из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о контрактной системе следует, что описание объекта закупки в соответствии с требованиями, указанными в части </w:t>
      </w:r>
      <w:r>
        <w:rPr>
          <w:rStyle w:val="CharStyle12"/>
          <w:lang w:val="en-US" w:eastAsia="en-US"/>
        </w:rPr>
        <w:t xml:space="preserve">1 </w:t>
      </w:r>
      <w:r>
        <w:rPr>
          <w:rStyle w:val="CharStyle12"/>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Заказчиком размещено описание объекта закупки в отношении закупаемого товара с указанием характеристик требуемого Заказчику изделия.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При этом, Заказчиком в адрес Комиссии Управления представлены доказательства, что установленным в описании закупки характеристикам соответствует товар не менее двух производителей.</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Так, согласно пояснениям Заказчика, описанию объекта закупки соответствуют </w:t>
      </w:r>
      <w:r>
        <w:rPr>
          <w:rStyle w:val="CharStyle12"/>
          <w:lang w:val="en-US" w:eastAsia="en-US"/>
        </w:rPr>
        <w:t xml:space="preserve">cследующие </w:t>
      </w:r>
      <w:r>
        <w:rPr>
          <w:rStyle w:val="CharStyle12"/>
        </w:rPr>
        <w:t>производители: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позиции </w:t>
      </w:r>
      <w:r>
        <w:rPr>
          <w:rStyle w:val="CharStyle12"/>
          <w:lang w:val="en-US" w:eastAsia="en-US"/>
        </w:rPr>
        <w:t xml:space="preserve">4.1 </w:t>
      </w:r>
      <w:r>
        <w:rPr>
          <w:rStyle w:val="CharStyle12"/>
        </w:rPr>
        <w:t xml:space="preserve">описания объекта закупки </w:t>
      </w:r>
      <w:r>
        <w:rPr>
          <w:rStyle w:val="CharStyle12"/>
          <w:lang w:val="en-US" w:eastAsia="en-US"/>
        </w:rPr>
        <w:t xml:space="preserve">– </w:t>
      </w:r>
      <w:r>
        <w:rPr>
          <w:rStyle w:val="CharStyle12"/>
        </w:rPr>
        <w:t xml:space="preserve">Видеоинформационный эндоскопический центр </w:t>
      </w:r>
      <w:r>
        <w:rPr>
          <w:rStyle w:val="CharStyle12"/>
          <w:lang w:val="en-US" w:eastAsia="en-US"/>
        </w:rPr>
        <w:t xml:space="preserve">CV-1500 </w:t>
      </w:r>
      <w:r>
        <w:rPr>
          <w:rStyle w:val="CharStyle12"/>
        </w:rPr>
        <w:t xml:space="preserve">производства </w:t>
      </w:r>
      <w:r>
        <w:rPr>
          <w:rStyle w:val="CharStyle12"/>
          <w:lang w:val="en-US" w:eastAsia="en-US"/>
        </w:rPr>
        <w:t xml:space="preserve">Olympus Medical Sistems, </w:t>
      </w:r>
      <w:r>
        <w:rPr>
          <w:rStyle w:val="CharStyle12"/>
        </w:rPr>
        <w:t xml:space="preserve">Япония (РУ </w:t>
      </w:r>
      <w:r>
        <w:rPr>
          <w:rStyle w:val="CharStyle12"/>
          <w:lang w:val="en-US" w:eastAsia="en-US"/>
        </w:rPr>
        <w:t xml:space="preserve">№ </w:t>
      </w:r>
      <w:r>
        <w:rPr>
          <w:rStyle w:val="CharStyle12"/>
        </w:rPr>
        <w:t xml:space="preserve">РЗН </w:t>
      </w:r>
      <w:r>
        <w:rPr>
          <w:rStyle w:val="CharStyle12"/>
          <w:lang w:val="en-US" w:eastAsia="en-US"/>
        </w:rPr>
        <w:t xml:space="preserve">2022/19199 </w:t>
      </w:r>
      <w:r>
        <w:rPr>
          <w:rStyle w:val="CharStyle12"/>
        </w:rPr>
        <w:t xml:space="preserve">от </w:t>
      </w:r>
      <w:r>
        <w:rPr>
          <w:rStyle w:val="CharStyle12"/>
          <w:lang w:val="en-US" w:eastAsia="en-US"/>
        </w:rPr>
        <w:t xml:space="preserve">21.12.2022) </w:t>
      </w:r>
      <w:r>
        <w:rPr>
          <w:rStyle w:val="CharStyle12"/>
        </w:rPr>
        <w:t xml:space="preserve">и видеопроцессор медицинский эндоскопический </w:t>
      </w:r>
      <w:r>
        <w:rPr>
          <w:rStyle w:val="CharStyle12"/>
          <w:lang w:val="en-US" w:eastAsia="en-US"/>
        </w:rPr>
        <w:t xml:space="preserve">EPK-i8020с, </w:t>
      </w:r>
      <w:r>
        <w:rPr>
          <w:rStyle w:val="CharStyle12"/>
        </w:rPr>
        <w:t xml:space="preserve">производства </w:t>
      </w:r>
      <w:r>
        <w:rPr>
          <w:rStyle w:val="CharStyle12"/>
          <w:lang w:val="en-US" w:eastAsia="en-US"/>
        </w:rPr>
        <w:t xml:space="preserve">Pentax </w:t>
      </w:r>
      <w:r>
        <w:rPr>
          <w:rStyle w:val="CharStyle12"/>
        </w:rPr>
        <w:t xml:space="preserve">ХОЯ Корпорейшн», Япония (код ОКСМ </w:t>
      </w:r>
      <w:r>
        <w:rPr>
          <w:rStyle w:val="CharStyle12"/>
          <w:lang w:val="en-US" w:eastAsia="en-US"/>
        </w:rPr>
        <w:t xml:space="preserve">392) </w:t>
      </w:r>
      <w:r>
        <w:rPr>
          <w:rStyle w:val="CharStyle12"/>
        </w:rPr>
        <w:t xml:space="preserve">(РУ </w:t>
      </w:r>
      <w:r>
        <w:rPr>
          <w:rStyle w:val="CharStyle12"/>
          <w:lang w:val="en-US" w:eastAsia="en-US"/>
        </w:rPr>
        <w:t xml:space="preserve">№ </w:t>
      </w:r>
      <w:r>
        <w:rPr>
          <w:rStyle w:val="CharStyle12"/>
        </w:rPr>
        <w:t xml:space="preserve">РЗН </w:t>
      </w:r>
      <w:r>
        <w:rPr>
          <w:rStyle w:val="CharStyle12"/>
          <w:lang w:val="en-US" w:eastAsia="en-US"/>
        </w:rPr>
        <w:t xml:space="preserve">2024/22025 </w:t>
      </w:r>
      <w:r>
        <w:rPr>
          <w:rStyle w:val="CharStyle12"/>
        </w:rPr>
        <w:t>от 16.02.2024г.);</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позиции </w:t>
      </w:r>
      <w:r>
        <w:rPr>
          <w:rStyle w:val="CharStyle12"/>
          <w:lang w:val="en-US" w:eastAsia="en-US"/>
        </w:rPr>
        <w:t xml:space="preserve">4.2 </w:t>
      </w:r>
      <w:r>
        <w:rPr>
          <w:rStyle w:val="CharStyle12"/>
        </w:rPr>
        <w:t xml:space="preserve">описания объекта закупки </w:t>
      </w:r>
      <w:r>
        <w:rPr>
          <w:rStyle w:val="CharStyle12"/>
          <w:lang w:val="en-US" w:eastAsia="en-US"/>
        </w:rPr>
        <w:t xml:space="preserve">– </w:t>
      </w:r>
      <w:r>
        <w:rPr>
          <w:rStyle w:val="CharStyle12"/>
        </w:rPr>
        <w:t xml:space="preserve">гастроинтестинальный видеоскоп </w:t>
      </w:r>
      <w:r>
        <w:rPr>
          <w:rStyle w:val="CharStyle12"/>
          <w:lang w:val="en-US" w:eastAsia="en-US"/>
        </w:rPr>
        <w:t xml:space="preserve">GIF EZ1500, </w:t>
      </w:r>
      <w:r>
        <w:rPr>
          <w:rStyle w:val="CharStyle12"/>
        </w:rPr>
        <w:t xml:space="preserve">производства </w:t>
      </w:r>
      <w:r>
        <w:rPr>
          <w:rStyle w:val="CharStyle12"/>
          <w:lang w:val="en-US" w:eastAsia="en-US"/>
        </w:rPr>
        <w:t xml:space="preserve">Olympus Medical Sistems, </w:t>
      </w:r>
      <w:r>
        <w:rPr>
          <w:rStyle w:val="CharStyle12"/>
        </w:rPr>
        <w:t xml:space="preserve">Япония (РУ №РЗН </w:t>
      </w:r>
      <w:r>
        <w:rPr>
          <w:rStyle w:val="CharStyle12"/>
          <w:lang w:val="en-US" w:eastAsia="en-US"/>
        </w:rPr>
        <w:t xml:space="preserve">2023/19902) </w:t>
      </w:r>
      <w:r>
        <w:rPr>
          <w:rStyle w:val="CharStyle12"/>
        </w:rPr>
        <w:t xml:space="preserve">и видеогастроскоп </w:t>
      </w:r>
      <w:r>
        <w:rPr>
          <w:rStyle w:val="CharStyle12"/>
          <w:lang w:val="en-US" w:eastAsia="en-US"/>
        </w:rPr>
        <w:t xml:space="preserve">PENTAX Medica , </w:t>
      </w:r>
      <w:r>
        <w:rPr>
          <w:rStyle w:val="CharStyle12"/>
        </w:rPr>
        <w:t xml:space="preserve">модель </w:t>
      </w:r>
      <w:r>
        <w:rPr>
          <w:rStyle w:val="CharStyle12"/>
          <w:lang w:val="en-US" w:eastAsia="en-US"/>
        </w:rPr>
        <w:t xml:space="preserve">EG29- 10c </w:t>
      </w:r>
      <w:r>
        <w:rPr>
          <w:rStyle w:val="CharStyle12"/>
        </w:rPr>
        <w:t xml:space="preserve">производства </w:t>
      </w:r>
      <w:r>
        <w:rPr>
          <w:rStyle w:val="CharStyle12"/>
          <w:lang w:val="en-US" w:eastAsia="en-US"/>
        </w:rPr>
        <w:t xml:space="preserve">HOYA Corporation, </w:t>
      </w:r>
      <w:r>
        <w:rPr>
          <w:rStyle w:val="CharStyle12"/>
        </w:rPr>
        <w:t xml:space="preserve">Япония (РУ №РЗН </w:t>
      </w:r>
      <w:r>
        <w:rPr>
          <w:rStyle w:val="CharStyle12"/>
          <w:lang w:val="en-US" w:eastAsia="en-US"/>
        </w:rPr>
        <w:t>2023/19913);</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по позиции </w:t>
      </w:r>
      <w:r>
        <w:rPr>
          <w:rStyle w:val="CharStyle12"/>
          <w:lang w:val="en-US" w:eastAsia="en-US"/>
        </w:rPr>
        <w:t xml:space="preserve">4.3 </w:t>
      </w:r>
      <w:r>
        <w:rPr>
          <w:rStyle w:val="CharStyle12"/>
        </w:rPr>
        <w:t xml:space="preserve">описания объекта закупки </w:t>
      </w:r>
      <w:r>
        <w:rPr>
          <w:rStyle w:val="CharStyle12"/>
          <w:lang w:val="en-US" w:eastAsia="en-US"/>
        </w:rPr>
        <w:t xml:space="preserve">- </w:t>
      </w:r>
      <w:r>
        <w:rPr>
          <w:rStyle w:val="CharStyle12"/>
        </w:rPr>
        <w:t xml:space="preserve">видеоколоноскоп </w:t>
      </w:r>
      <w:r>
        <w:rPr>
          <w:rStyle w:val="CharStyle12"/>
          <w:lang w:val="en-US" w:eastAsia="en-US"/>
        </w:rPr>
        <w:t xml:space="preserve">PCF-H190L, </w:t>
      </w:r>
      <w:r>
        <w:rPr>
          <w:rStyle w:val="CharStyle12"/>
        </w:rPr>
        <w:t xml:space="preserve">производства </w:t>
      </w:r>
      <w:r>
        <w:rPr>
          <w:rStyle w:val="CharStyle12"/>
          <w:lang w:val="en-US" w:eastAsia="en-US"/>
        </w:rPr>
        <w:t xml:space="preserve">OLYMPUS Medical Systems Corp., </w:t>
      </w:r>
      <w:r>
        <w:rPr>
          <w:rStyle w:val="CharStyle12"/>
        </w:rPr>
        <w:t xml:space="preserve">Япония (РУ РЗН </w:t>
      </w:r>
      <w:r>
        <w:rPr>
          <w:rStyle w:val="CharStyle12"/>
          <w:lang w:val="en-US" w:eastAsia="en-US"/>
        </w:rPr>
        <w:t xml:space="preserve">2014/1906 </w:t>
      </w:r>
      <w:r>
        <w:rPr>
          <w:rStyle w:val="CharStyle12"/>
        </w:rPr>
        <w:t xml:space="preserve">от 02.03.2022г) и видеоколоноскоп </w:t>
      </w:r>
      <w:r>
        <w:rPr>
          <w:rStyle w:val="CharStyle12"/>
          <w:lang w:val="en-US" w:eastAsia="en-US"/>
        </w:rPr>
        <w:t xml:space="preserve">PENTAX Medical </w:t>
      </w:r>
      <w:r>
        <w:rPr>
          <w:rStyle w:val="CharStyle12"/>
        </w:rPr>
        <w:t xml:space="preserve">с принадлежностями, вариант исполнения </w:t>
      </w:r>
      <w:r>
        <w:rPr>
          <w:rStyle w:val="CharStyle12"/>
          <w:lang w:val="en-US" w:eastAsia="en-US"/>
        </w:rPr>
        <w:t xml:space="preserve">ЕС34-i10сL, HOYA Corporation, </w:t>
      </w:r>
      <w:r>
        <w:rPr>
          <w:rStyle w:val="CharStyle12"/>
        </w:rPr>
        <w:t xml:space="preserve">Япония (РУ РЗН </w:t>
      </w:r>
      <w:r>
        <w:rPr>
          <w:rStyle w:val="CharStyle12"/>
          <w:lang w:val="en-US" w:eastAsia="en-US"/>
        </w:rPr>
        <w:t>2022/19279).</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Такое соответствие подтверждается регистрационными удостоверениями и инструкциями на товар, размещенными на официальном сайте Федеральной службы по надзору в сфере здравоохранения.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этом, системное толкование Закона о контрактной системе позволяет сделать вывод о том, что Заказчик вправе определять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Действующее законодательство о контрактной системе Российской Федерации не ограничивает право Заказчика приобретать товары, работы и услуги в соответствии со своими нуждами и спецификой деятельности. Заказчик не имеет возможность установить требования к техническим, качественным характеристикам товара, которые удовлетворяли бы всех возможных участников закупок для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Закон о контрактной системе не обязывает Заказчика при определении характеристик поставляемого товара в извещении устанавливать такие характеристики, которые соответствовали бы всем существующим типам, видам, маркам товара.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Кроме того, объектом закупки является поставка товара, а не его производство, следовательно, любой хозяйствующий субъект (в том числе не являющийся производителем) может принять участие в закупке.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Заявитель, не являясь производителем товара, мог принять участие в данной закупке, а, следовательно, сформированное Заказчиком описание объекта закупки не нарушает его права и законные интересы.</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Также, не нашла своего подтверждения информация Заявителя, что описание объекта закупки Заказчика содержит указание на конкретный товарный знак.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Таким образом, описание объекта закупки не противоречит требованиям</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статьи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280" w:line="240" w:lineRule="auto"/>
        <w:ind w:left="0" w:right="0" w:firstLine="720"/>
        <w:jc w:val="both"/>
      </w:pPr>
      <w:r>
        <w:rPr>
          <w:rStyle w:val="CharStyle12"/>
        </w:rPr>
        <w:t>На основании изложенного, Комиссия Управления приходит к выводу о том, что вышеуказанный довод Заявителя не нашел своего подтверждения и является необоснованным.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доводу жалобы Заявителя, Заказчиком неправомерно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w:t>
      </w:r>
      <w:r>
        <w:rPr>
          <w:rStyle w:val="CharStyle12"/>
          <w:lang w:val="en-US" w:eastAsia="en-US"/>
        </w:rPr>
        <w:t xml:space="preserve">16.11.2015 №1236 </w:t>
      </w:r>
      <w:r>
        <w:rPr>
          <w:rStyle w:val="CharStyle12"/>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2"/>
          <w:lang w:val="en-US" w:eastAsia="en-US"/>
        </w:rPr>
        <w:t xml:space="preserve">- </w:t>
      </w:r>
      <w:r>
        <w:rPr>
          <w:rStyle w:val="CharStyle12"/>
        </w:rPr>
        <w:t xml:space="preserve">Постановление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Комиссия Управления отмечает, что ссылка Заявителя на неустановление Заказчиком запрета на допуск программного обеспечения, происходящего из иностранных государств, в силу Постановления </w:t>
      </w:r>
      <w:r>
        <w:rPr>
          <w:rStyle w:val="CharStyle12"/>
          <w:lang w:val="en-US" w:eastAsia="en-US"/>
        </w:rPr>
        <w:t xml:space="preserve">№1236 </w:t>
      </w:r>
      <w:r>
        <w:rPr>
          <w:rStyle w:val="CharStyle12"/>
        </w:rPr>
        <w:t xml:space="preserve">не может быть принята во внимание, поскольку с </w:t>
      </w:r>
      <w:r>
        <w:rPr>
          <w:rStyle w:val="CharStyle12"/>
          <w:lang w:val="en-US" w:eastAsia="en-US"/>
        </w:rPr>
        <w:t xml:space="preserve">01.01.2025 </w:t>
      </w:r>
      <w:r>
        <w:rPr>
          <w:rStyle w:val="CharStyle12"/>
        </w:rPr>
        <w:t xml:space="preserve">года пункты </w:t>
      </w:r>
      <w:r>
        <w:rPr>
          <w:rStyle w:val="CharStyle12"/>
          <w:lang w:val="en-US" w:eastAsia="en-US"/>
        </w:rPr>
        <w:t xml:space="preserve">2, 2(1) </w:t>
      </w:r>
      <w:r>
        <w:rPr>
          <w:rStyle w:val="CharStyle12"/>
        </w:rPr>
        <w:t xml:space="preserve">Постановления </w:t>
      </w:r>
      <w:r>
        <w:rPr>
          <w:rStyle w:val="CharStyle12"/>
          <w:lang w:val="en-US" w:eastAsia="en-US"/>
        </w:rPr>
        <w:t xml:space="preserve">№1236 </w:t>
      </w:r>
      <w:r>
        <w:rPr>
          <w:rStyle w:val="CharStyle12"/>
        </w:rPr>
        <w:t xml:space="preserve">утратили силу, и в настоящее время указанное постановление регулирует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2"/>
          <w:lang w:val="en-US" w:eastAsia="en-US"/>
        </w:rPr>
        <w:t xml:space="preserve">- </w:t>
      </w:r>
      <w:r>
        <w:rPr>
          <w:rStyle w:val="CharStyle12"/>
        </w:rPr>
        <w:t>членов Евразийского экономического союза, за исключением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этом, Постановлением </w:t>
      </w:r>
      <w:r>
        <w:rPr>
          <w:rStyle w:val="CharStyle12"/>
          <w:lang w:val="en-US" w:eastAsia="en-US"/>
        </w:rPr>
        <w:t xml:space="preserve">№1875 </w:t>
      </w:r>
      <w:r>
        <w:rPr>
          <w:rStyle w:val="CharStyle12"/>
        </w:rPr>
        <w:t xml:space="preserve">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№1, </w:t>
      </w:r>
      <w:r>
        <w:rPr>
          <w:rStyle w:val="CharStyle12"/>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подпунктом «д» пункта </w:t>
      </w:r>
      <w:r>
        <w:rPr>
          <w:rStyle w:val="CharStyle12"/>
          <w:lang w:val="en-US" w:eastAsia="en-US"/>
        </w:rPr>
        <w:t xml:space="preserve">4 </w:t>
      </w:r>
      <w:r>
        <w:rPr>
          <w:rStyle w:val="CharStyle12"/>
        </w:rPr>
        <w:t xml:space="preserve">Постановления </w:t>
      </w:r>
      <w:r>
        <w:rPr>
          <w:rStyle w:val="CharStyle12"/>
          <w:lang w:val="en-US" w:eastAsia="en-US"/>
        </w:rPr>
        <w:t xml:space="preserve">№1875 </w:t>
      </w:r>
      <w:r>
        <w:rPr>
          <w:rStyle w:val="CharStyle12"/>
        </w:rPr>
        <w:t xml:space="preserve">позиции приложения </w:t>
      </w:r>
      <w:r>
        <w:rPr>
          <w:rStyle w:val="CharStyle12"/>
          <w:lang w:val="en-US" w:eastAsia="en-US"/>
        </w:rPr>
        <w:t xml:space="preserve">№1 </w:t>
      </w:r>
      <w:r>
        <w:rPr>
          <w:rStyle w:val="CharStyle12"/>
        </w:rPr>
        <w:t xml:space="preserve">и приложения </w:t>
      </w:r>
      <w:r>
        <w:rPr>
          <w:rStyle w:val="CharStyle12"/>
          <w:lang w:val="en-US" w:eastAsia="en-US"/>
        </w:rPr>
        <w:t xml:space="preserve">№2 </w:t>
      </w:r>
      <w:r>
        <w:rPr>
          <w:rStyle w:val="CharStyle12"/>
        </w:rPr>
        <w:t xml:space="preserve">к данному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w:t>
      </w:r>
    </w:p>
    <w:p>
      <w:pPr>
        <w:pStyle w:val="Style11"/>
        <w:keepNext w:val="0"/>
        <w:keepLines w:val="0"/>
        <w:widowControl w:val="0"/>
        <w:shd w:val="clear" w:color="auto" w:fill="auto"/>
        <w:bidi w:val="0"/>
        <w:spacing w:before="0" w:after="0" w:line="240" w:lineRule="auto"/>
        <w:ind w:left="0" w:right="0" w:firstLine="0"/>
        <w:jc w:val="both"/>
      </w:pPr>
      <w:r>
        <w:rPr>
          <w:rStyle w:val="CharStyle12"/>
        </w:rPr>
        <w:t>«Наименование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Согласно подпункту «с» пункта </w:t>
      </w:r>
      <w:r>
        <w:rPr>
          <w:rStyle w:val="CharStyle12"/>
          <w:lang w:val="en-US" w:eastAsia="en-US"/>
        </w:rPr>
        <w:t xml:space="preserve">4 </w:t>
      </w:r>
      <w:r>
        <w:rPr>
          <w:rStyle w:val="CharStyle12"/>
        </w:rPr>
        <w:t xml:space="preserve">Постановления </w:t>
      </w:r>
      <w:r>
        <w:rPr>
          <w:rStyle w:val="CharStyle12"/>
          <w:lang w:val="en-US" w:eastAsia="en-US"/>
        </w:rPr>
        <w:t xml:space="preserve">№1875, </w:t>
      </w:r>
      <w:r>
        <w:rPr>
          <w:rStyle w:val="CharStyle12"/>
        </w:rPr>
        <w:t xml:space="preserve">для целей настоящего постановления под программным обеспечением, указанным в позиции </w:t>
      </w:r>
      <w:r>
        <w:rPr>
          <w:rStyle w:val="CharStyle12"/>
          <w:lang w:val="en-US" w:eastAsia="en-US"/>
        </w:rPr>
        <w:t xml:space="preserve">146 </w:t>
      </w:r>
      <w:r>
        <w:rPr>
          <w:rStyle w:val="CharStyle12"/>
        </w:rPr>
        <w:t xml:space="preserve">приложения </w:t>
      </w:r>
      <w:r>
        <w:rPr>
          <w:rStyle w:val="CharStyle12"/>
          <w:lang w:val="en-US" w:eastAsia="en-US"/>
        </w:rPr>
        <w:t xml:space="preserve">№1 </w:t>
      </w:r>
      <w:r>
        <w:rPr>
          <w:rStyle w:val="CharStyle12"/>
        </w:rPr>
        <w:t>к настоящему постановлению, понимается программное обеспечение и (или) права на него возникшие вследствие:</w:t>
      </w:r>
    </w:p>
    <w:p>
      <w:pPr>
        <w:pStyle w:val="Style11"/>
        <w:keepNext w:val="0"/>
        <w:keepLines w:val="0"/>
        <w:widowControl w:val="0"/>
        <w:numPr>
          <w:ilvl w:val="0"/>
          <w:numId w:val="11"/>
        </w:numPr>
        <w:shd w:val="clear" w:color="auto" w:fill="auto"/>
        <w:tabs>
          <w:tab w:pos="955" w:val="left"/>
        </w:tabs>
        <w:bidi w:val="0"/>
        <w:spacing w:before="0" w:after="0" w:line="240" w:lineRule="auto"/>
        <w:ind w:left="0" w:right="0" w:firstLine="740"/>
        <w:jc w:val="both"/>
      </w:pPr>
      <w:r>
        <w:rPr>
          <w:rStyle w:val="CharStyle12"/>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w:t>
        <w:softHyphen/>
        <w:t>технологической и программно-аппаратной инфраструктуры, обеспечивающей сбор, обработку и хранение данных (услуги облачных вычислений);</w:t>
      </w:r>
    </w:p>
    <w:p>
      <w:pPr>
        <w:pStyle w:val="Style11"/>
        <w:keepNext w:val="0"/>
        <w:keepLines w:val="0"/>
        <w:widowControl w:val="0"/>
        <w:numPr>
          <w:ilvl w:val="0"/>
          <w:numId w:val="11"/>
        </w:numPr>
        <w:shd w:val="clear" w:color="auto" w:fill="auto"/>
        <w:tabs>
          <w:tab w:pos="951" w:val="left"/>
        </w:tabs>
        <w:bidi w:val="0"/>
        <w:spacing w:before="0" w:after="0" w:line="240" w:lineRule="auto"/>
        <w:ind w:left="0" w:right="0" w:firstLine="740"/>
        <w:jc w:val="both"/>
      </w:pPr>
      <w:r>
        <w:rPr>
          <w:rStyle w:val="CharStyle12"/>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1"/>
        <w:keepNext w:val="0"/>
        <w:keepLines w:val="0"/>
        <w:widowControl w:val="0"/>
        <w:numPr>
          <w:ilvl w:val="0"/>
          <w:numId w:val="11"/>
        </w:numPr>
        <w:shd w:val="clear" w:color="auto" w:fill="auto"/>
        <w:tabs>
          <w:tab w:pos="960" w:val="left"/>
        </w:tabs>
        <w:bidi w:val="0"/>
        <w:spacing w:before="0" w:after="0" w:line="240" w:lineRule="auto"/>
        <w:ind w:left="0" w:right="0" w:firstLine="740"/>
        <w:jc w:val="both"/>
      </w:pPr>
      <w:r>
        <w:rPr>
          <w:rStyle w:val="CharStyle12"/>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1"/>
        <w:keepNext w:val="0"/>
        <w:keepLines w:val="0"/>
        <w:widowControl w:val="0"/>
        <w:numPr>
          <w:ilvl w:val="0"/>
          <w:numId w:val="11"/>
        </w:numPr>
        <w:shd w:val="clear" w:color="auto" w:fill="auto"/>
        <w:tabs>
          <w:tab w:pos="960" w:val="left"/>
        </w:tabs>
        <w:bidi w:val="0"/>
        <w:spacing w:before="0" w:after="0" w:line="240" w:lineRule="auto"/>
        <w:ind w:left="0" w:right="0" w:firstLine="740"/>
        <w:jc w:val="both"/>
      </w:pPr>
      <w:r>
        <w:rPr>
          <w:rStyle w:val="CharStyle12"/>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1"/>
        <w:keepNext w:val="0"/>
        <w:keepLines w:val="0"/>
        <w:widowControl w:val="0"/>
        <w:shd w:val="clear" w:color="auto" w:fill="auto"/>
        <w:bidi w:val="0"/>
        <w:spacing w:before="0" w:after="280" w:line="240" w:lineRule="auto"/>
        <w:ind w:left="0" w:right="0" w:firstLine="740"/>
        <w:jc w:val="both"/>
      </w:pPr>
      <w:r>
        <w:rPr>
          <w:rStyle w:val="CharStyle12"/>
        </w:rPr>
        <w:t>В данном случае закупка касается медицинского оборудования, в состав которого входят встроенные программные компоненты, не являющиеся самостоятельным объектом закупки, в связи с чем, Заказчик правомерно не установил требование о необходимости поставки программного обеспечения.</w:t>
      </w:r>
    </w:p>
    <w:p>
      <w:pPr>
        <w:pStyle w:val="Style11"/>
        <w:keepNext w:val="0"/>
        <w:keepLines w:val="0"/>
        <w:widowControl w:val="0"/>
        <w:shd w:val="clear" w:color="auto" w:fill="auto"/>
        <w:bidi w:val="0"/>
        <w:spacing w:before="0" w:after="0" w:line="240" w:lineRule="auto"/>
        <w:ind w:left="0" w:right="0" w:firstLine="740"/>
        <w:jc w:val="both"/>
      </w:pPr>
      <w:r>
        <w:rPr>
          <w:rStyle w:val="CharStyle12"/>
        </w:rPr>
        <w:t>Кроме того, согласно доводу Заявителя, извещение не содержит полную и достоверную информацию, в проекте контракта не указаны контактные данные конечного получателя товара, не указан срок действия контракта.</w:t>
      </w:r>
    </w:p>
    <w:p>
      <w:pPr>
        <w:pStyle w:val="Style11"/>
        <w:keepNext w:val="0"/>
        <w:keepLines w:val="0"/>
        <w:widowControl w:val="0"/>
        <w:shd w:val="clear" w:color="auto" w:fill="auto"/>
        <w:bidi w:val="0"/>
        <w:spacing w:before="0" w:after="0" w:line="240" w:lineRule="auto"/>
        <w:ind w:left="0" w:right="0" w:firstLine="740"/>
        <w:jc w:val="both"/>
      </w:pPr>
      <w:r>
        <w:rPr>
          <w:rStyle w:val="CharStyle12"/>
        </w:rPr>
        <w:t xml:space="preserve">В силу части </w:t>
      </w:r>
      <w:r>
        <w:rPr>
          <w:rStyle w:val="CharStyle12"/>
          <w:lang w:val="en-US" w:eastAsia="en-US"/>
        </w:rPr>
        <w:t xml:space="preserve">3 </w:t>
      </w:r>
      <w:r>
        <w:rPr>
          <w:rStyle w:val="CharStyle12"/>
        </w:rPr>
        <w:t xml:space="preserve">статьи </w:t>
      </w:r>
      <w:r>
        <w:rPr>
          <w:rStyle w:val="CharStyle12"/>
          <w:lang w:val="en-US" w:eastAsia="en-US"/>
        </w:rPr>
        <w:t xml:space="preserve">7 </w:t>
      </w:r>
      <w:r>
        <w:rPr>
          <w:rStyle w:val="CharStyle12"/>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1"/>
        <w:keepNext w:val="0"/>
        <w:keepLines w:val="0"/>
        <w:widowControl w:val="0"/>
        <w:shd w:val="clear" w:color="auto" w:fill="auto"/>
        <w:bidi w:val="0"/>
        <w:spacing w:before="0" w:after="0" w:line="240" w:lineRule="auto"/>
        <w:ind w:left="0" w:right="0" w:firstLine="740"/>
        <w:jc w:val="both"/>
      </w:pPr>
      <w:r>
        <w:rPr>
          <w:rStyle w:val="CharStyle12"/>
        </w:rPr>
        <w:t>Комиссией Управления не установлено наличие противоречивой, неполной или недостоверной информации в опубликованном извещении.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Доводы Заявителя о нарушении прав потенциальных участников закупки в связи с отсутствием в извещении контактных данных сотрудников конечного получателя и функционального заказчика медицинской организации, не основаны на положениях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Закон о контрактной системе четко определяет перечень обязательной информации, подлежащей размещению в извещении об осуществлении закупки и в проекте контракта. В их числе контактные данные сотрудников конечного получателя или функционального заказчика не поименованы в качестве обязательных реквизитов.</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Следовательно, отсутствие таких сведений в извещении не свидетельствует о нарушении норм законодательства о контрактной системе и не является основанием для признания действий Заказчика неправомерными.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Утверждение Заявителя об отсутствии в ЕИС срока действия контракта также не соответствует действительности.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информации, размещенной в ЕИС, Заказчиком установлен срок исполнения контракта </w:t>
      </w:r>
      <w:r>
        <w:rPr>
          <w:rStyle w:val="CharStyle12"/>
          <w:lang w:val="en-US" w:eastAsia="en-US"/>
        </w:rPr>
        <w:t xml:space="preserve">- </w:t>
      </w:r>
      <w:r>
        <w:rPr>
          <w:rStyle w:val="CharStyle12"/>
        </w:rPr>
        <w:t xml:space="preserve">до </w:t>
      </w:r>
      <w:r>
        <w:rPr>
          <w:rStyle w:val="CharStyle12"/>
          <w:lang w:val="en-US" w:eastAsia="en-US"/>
        </w:rPr>
        <w:t xml:space="preserve">31.12.2026 </w:t>
      </w:r>
      <w:r>
        <w:rPr>
          <w:rStyle w:val="CharStyle12"/>
        </w:rPr>
        <w:t>года.</w:t>
      </w:r>
    </w:p>
    <w:p>
      <w:pPr>
        <w:pStyle w:val="Style11"/>
        <w:keepNext w:val="0"/>
        <w:keepLines w:val="0"/>
        <w:widowControl w:val="0"/>
        <w:shd w:val="clear" w:color="auto" w:fill="auto"/>
        <w:bidi w:val="0"/>
        <w:spacing w:before="0" w:after="280" w:line="240" w:lineRule="auto"/>
        <w:ind w:left="0" w:right="0" w:firstLine="720"/>
        <w:jc w:val="both"/>
      </w:pPr>
      <w:r>
        <w:rPr>
          <w:rStyle w:val="CharStyle12"/>
        </w:rPr>
        <w:t>Таким образом, потенциальные участники обладали всей необходимой информацией для формирования своих предложений, в том числе для надлежащего расчета сроков предоставления обеспечения исполнения контракта, включая оформление банковских гарантий.</w:t>
      </w:r>
    </w:p>
    <w:p>
      <w:pPr>
        <w:pStyle w:val="Style21"/>
        <w:keepNext w:val="0"/>
        <w:keepLines w:val="0"/>
        <w:widowControl w:val="0"/>
        <w:shd w:val="clear" w:color="auto" w:fill="auto"/>
        <w:bidi w:val="0"/>
        <w:spacing w:before="0" w:after="280" w:line="240" w:lineRule="auto"/>
        <w:ind w:left="0" w:right="0" w:firstLine="560"/>
        <w:jc w:val="both"/>
      </w:pPr>
      <w:r>
        <w:rPr>
          <w:rStyle w:val="CharStyle22"/>
        </w:rPr>
        <w:t>Учитывая вышеизложенное, оснований для выдачи Заказчику предписания об устранении нарушений Закона о контрактной системе не имеется.</w:t>
      </w:r>
    </w:p>
    <w:p>
      <w:pPr>
        <w:pStyle w:val="Style11"/>
        <w:keepNext w:val="0"/>
        <w:keepLines w:val="0"/>
        <w:widowControl w:val="0"/>
        <w:shd w:val="clear" w:color="auto" w:fill="auto"/>
        <w:bidi w:val="0"/>
        <w:spacing w:before="0" w:after="280" w:line="240" w:lineRule="auto"/>
        <w:ind w:left="0" w:right="0" w:firstLine="560"/>
        <w:jc w:val="both"/>
      </w:pPr>
      <w:r>
        <w:rPr>
          <w:rStyle w:val="CharStyle12"/>
        </w:rPr>
        <w:t xml:space="preserve">На основании вышеизложенного, руководствуясь пунктом </w:t>
      </w:r>
      <w:r>
        <w:rPr>
          <w:rStyle w:val="CharStyle12"/>
          <w:lang w:val="en-US" w:eastAsia="en-US"/>
        </w:rPr>
        <w:t xml:space="preserve">1 </w:t>
      </w:r>
      <w:r>
        <w:rPr>
          <w:rStyle w:val="CharStyle12"/>
        </w:rPr>
        <w:t xml:space="preserve">части </w:t>
      </w:r>
      <w:r>
        <w:rPr>
          <w:rStyle w:val="CharStyle12"/>
          <w:lang w:val="en-US" w:eastAsia="en-US"/>
        </w:rPr>
        <w:t xml:space="preserve">15 </w:t>
      </w:r>
      <w:r>
        <w:rPr>
          <w:rStyle w:val="CharStyle12"/>
        </w:rPr>
        <w:t xml:space="preserve">статьи </w:t>
      </w:r>
      <w:r>
        <w:rPr>
          <w:rStyle w:val="CharStyle12"/>
          <w:lang w:val="en-US" w:eastAsia="en-US"/>
        </w:rPr>
        <w:t xml:space="preserve">99 </w:t>
      </w:r>
      <w:r>
        <w:rPr>
          <w:rStyle w:val="CharStyle12"/>
        </w:rPr>
        <w:t xml:space="preserve">и частью </w:t>
      </w:r>
      <w:r>
        <w:rPr>
          <w:rStyle w:val="CharStyle12"/>
          <w:lang w:val="en-US" w:eastAsia="en-US"/>
        </w:rPr>
        <w:t xml:space="preserve">8 </w:t>
      </w:r>
      <w:r>
        <w:rPr>
          <w:rStyle w:val="CharStyle12"/>
        </w:rPr>
        <w:t xml:space="preserve">статьи </w:t>
      </w:r>
      <w:r>
        <w:rPr>
          <w:rStyle w:val="CharStyle12"/>
          <w:lang w:val="en-US" w:eastAsia="en-US"/>
        </w:rPr>
        <w:t xml:space="preserve">106 </w:t>
      </w:r>
      <w:r>
        <w:rPr>
          <w:rStyle w:val="CharStyle12"/>
        </w:rPr>
        <w:t>Закона о контрактной системе, Комиссия</w:t>
      </w:r>
    </w:p>
    <w:p>
      <w:pPr>
        <w:pStyle w:val="Style14"/>
        <w:keepNext/>
        <w:keepLines/>
        <w:widowControl w:val="0"/>
        <w:shd w:val="clear" w:color="auto" w:fill="auto"/>
        <w:bidi w:val="0"/>
        <w:spacing w:before="0" w:after="600" w:line="240" w:lineRule="auto"/>
        <w:ind w:left="0" w:right="0" w:firstLine="0"/>
        <w:jc w:val="center"/>
      </w:pPr>
      <w:bookmarkStart w:id="9" w:name="bookmark9"/>
      <w:r>
        <w:rPr>
          <w:rStyle w:val="CharStyle15"/>
          <w:b/>
          <w:bCs/>
        </w:rPr>
        <w:t>РЕШИЛА:</w:t>
      </w:r>
      <w:bookmarkEnd w:id="9"/>
    </w:p>
    <w:p>
      <w:pPr>
        <w:pStyle w:val="Style11"/>
        <w:keepNext w:val="0"/>
        <w:keepLines w:val="0"/>
        <w:widowControl w:val="0"/>
        <w:numPr>
          <w:ilvl w:val="0"/>
          <w:numId w:val="13"/>
        </w:numPr>
        <w:shd w:val="clear" w:color="auto" w:fill="auto"/>
        <w:tabs>
          <w:tab w:pos="1323" w:val="left"/>
        </w:tabs>
        <w:bidi w:val="0"/>
        <w:spacing w:before="0" w:after="0" w:line="240" w:lineRule="auto"/>
        <w:ind w:left="0" w:right="0" w:firstLine="920"/>
        <w:jc w:val="both"/>
      </w:pPr>
      <w:r>
        <w:rPr>
          <w:rStyle w:val="CharStyle12"/>
        </w:rPr>
        <w:t>Признать жалобу индивидуального предпринимателя Кравченко А.В. на действия государственного заказчика ГКУ АО «Управление по материально</w:t>
        <w:softHyphen/>
        <w:t xml:space="preserve">техническому обслуживанию медицинских организаций», уполномоченного учреждения ГКУ АО «Региональный центр организации закупок» при проведении электронного аукциона на право заключения контракта на поставку эндоскопических систем и эндоскопов для верхних и нижних отделов ЖКТ (номер извещения: </w:t>
      </w:r>
      <w:r>
        <w:rPr>
          <w:rStyle w:val="CharStyle12"/>
          <w:lang w:val="en-US" w:eastAsia="en-US"/>
        </w:rPr>
        <w:t xml:space="preserve">0825500000726001161) </w:t>
      </w:r>
      <w:r>
        <w:rPr>
          <w:rStyle w:val="CharStyle12"/>
        </w:rPr>
        <w:t>необоснованной.</w:t>
      </w:r>
    </w:p>
    <w:p>
      <w:pPr>
        <w:pStyle w:val="Style11"/>
        <w:keepNext w:val="0"/>
        <w:keepLines w:val="0"/>
        <w:widowControl w:val="0"/>
        <w:numPr>
          <w:ilvl w:val="0"/>
          <w:numId w:val="13"/>
        </w:numPr>
        <w:shd w:val="clear" w:color="auto" w:fill="auto"/>
        <w:tabs>
          <w:tab w:pos="1735" w:val="left"/>
        </w:tabs>
        <w:bidi w:val="0"/>
        <w:spacing w:before="0" w:after="280" w:line="240" w:lineRule="auto"/>
        <w:ind w:left="0" w:right="0" w:firstLine="540"/>
        <w:jc w:val="both"/>
      </w:pPr>
      <w:r>
        <w:rPr>
          <w:rStyle w:val="CharStyle12"/>
        </w:rPr>
        <w:t>Предписание не выдавать.</w:t>
      </w:r>
    </w:p>
    <w:p>
      <w:pPr>
        <w:pStyle w:val="Style11"/>
        <w:keepNext w:val="0"/>
        <w:keepLines w:val="0"/>
        <w:widowControl w:val="0"/>
        <w:shd w:val="clear" w:color="auto" w:fill="auto"/>
        <w:bidi w:val="0"/>
        <w:spacing w:before="0" w:after="880" w:line="240" w:lineRule="auto"/>
        <w:ind w:left="0" w:right="0" w:firstLine="1520"/>
        <w:jc w:val="both"/>
      </w:pPr>
      <w:r>
        <w:rPr>
          <w:rStyle w:val="CharStyle12"/>
          <w:b/>
          <w:bCs/>
        </w:rPr>
        <w:t xml:space="preserve">Примечание: </w:t>
      </w:r>
      <w:r>
        <w:rPr>
          <w:rStyle w:val="CharStyle12"/>
        </w:rPr>
        <w:t>настоящее решение может быть обжаловано в судебном порядке в течение трех месяцев с даты его принятия.</w:t>
      </w:r>
    </w:p>
    <w:p>
      <w:pPr>
        <w:pStyle w:val="Style11"/>
        <w:keepNext w:val="0"/>
        <w:keepLines w:val="0"/>
        <w:widowControl w:val="0"/>
        <w:shd w:val="clear" w:color="auto" w:fill="auto"/>
        <w:bidi w:val="0"/>
        <w:spacing w:before="0" w:after="280" w:line="240" w:lineRule="auto"/>
        <w:ind w:left="0" w:right="0" w:firstLine="0"/>
        <w:jc w:val="both"/>
        <w:sectPr>
          <w:footnotePr>
            <w:pos w:val="pageBottom"/>
            <w:numFmt w:val="decimal"/>
            <w:numRestart w:val="continuous"/>
          </w:footnotePr>
          <w:type w:val="continuous"/>
          <w:pgSz w:w="11900" w:h="16840"/>
          <w:pgMar w:top="279" w:right="538" w:bottom="1217" w:left="1100" w:header="0" w:footer="3" w:gutter="0"/>
          <w:cols w:space="720"/>
          <w:noEndnote/>
          <w:rtlGutter w:val="0"/>
          <w:docGrid w:linePitch="360"/>
        </w:sectPr>
      </w:pPr>
      <w:r>
        <mc:AlternateContent>
          <mc:Choice Requires="wps">
            <w:drawing>
              <wp:anchor distT="0" distB="0" distL="114300" distR="114300" simplePos="0" relativeHeight="125829380" behindDoc="0" locked="0" layoutInCell="1" allowOverlap="1">
                <wp:simplePos x="0" y="0"/>
                <wp:positionH relativeFrom="page">
                  <wp:posOffset>6073140</wp:posOffset>
                </wp:positionH>
                <wp:positionV relativeFrom="paragraph">
                  <wp:posOffset>12700</wp:posOffset>
                </wp:positionV>
                <wp:extent cx="1112520" cy="250190"/>
                <wp:wrapSquare wrapText="left"/>
                <wp:docPr id="8" name="Shape 8"/>
                <a:graphic xmlns:a="http://schemas.openxmlformats.org/drawingml/2006/main">
                  <a:graphicData uri="http://schemas.microsoft.com/office/word/2010/wordprocessingShape">
                    <wps:wsp>
                      <wps:cNvSpPr txBox="1"/>
                      <wps:spPr>
                        <a:xfrm>
                          <a:ext cx="111252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И.В. Русскина</w:t>
                            </w:r>
                          </w:p>
                        </w:txbxContent>
                      </wps:txbx>
                      <wps:bodyPr wrap="none" lIns="0" tIns="0" rIns="0" bIns="0">
                        <a:noAutoFit/>
                      </wps:bodyPr>
                    </wps:wsp>
                  </a:graphicData>
                </a:graphic>
              </wp:anchor>
            </w:drawing>
          </mc:Choice>
          <mc:Fallback>
            <w:pict>
              <v:shape id="_x0000_s1034" type="#_x0000_t202" style="position:absolute;margin-left:478.19999999999999pt;margin-top:1.pt;width:87.600000000000009pt;height:19.699999999999999pt;z-index:-125829373;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И.В. Русскина</w:t>
                      </w:r>
                    </w:p>
                  </w:txbxContent>
                </v:textbox>
                <w10:wrap type="square" side="left" anchorx="page"/>
              </v:shape>
            </w:pict>
          </mc:Fallback>
        </mc:AlternateContent>
      </w:r>
      <w:r>
        <w:rPr>
          <w:rStyle w:val="CharStyle12"/>
        </w:rPr>
        <w:t>Председатель комиссии</w:t>
      </w:r>
    </w:p>
    <w:p>
      <w:pPr>
        <w:pStyle w:val="Style11"/>
        <w:keepNext w:val="0"/>
        <w:keepLines w:val="0"/>
        <w:framePr w:w="2088" w:h="394" w:wrap="none" w:hAnchor="page" w:x="1160" w:y="1"/>
        <w:widowControl w:val="0"/>
        <w:shd w:val="clear" w:color="auto" w:fill="auto"/>
        <w:bidi w:val="0"/>
        <w:spacing w:before="0" w:after="0" w:line="240" w:lineRule="auto"/>
        <w:ind w:left="0" w:right="0" w:firstLine="0"/>
        <w:jc w:val="left"/>
      </w:pPr>
      <w:r>
        <w:rPr>
          <w:rStyle w:val="CharStyle12"/>
        </w:rPr>
        <w:t>Члены комиссии</w:t>
      </w:r>
    </w:p>
    <w:p>
      <w:pPr>
        <w:pStyle w:val="Style23"/>
        <w:keepNext w:val="0"/>
        <w:keepLines w:val="0"/>
        <w:framePr w:w="2021" w:h="158" w:wrap="none" w:hAnchor="page" w:x="4909" w:y="1182"/>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rFonts w:ascii="Times New Roman" w:eastAsia="Times New Roman" w:hAnsi="Times New Roman" w:cs="Times New Roman"/>
          <w:b/>
          <w:bCs/>
          <w:color w:val="FFFFFF"/>
          <w:sz w:val="12"/>
          <w:szCs w:val="12"/>
        </w:rPr>
        <w:t>СВЕДЕНИЯ О СЕРТИФИКАТЕ ЭП</w:t>
      </w:r>
    </w:p>
    <w:p>
      <w:pPr>
        <w:pStyle w:val="Style23"/>
        <w:keepNext w:val="0"/>
        <w:keepLines w:val="0"/>
        <w:framePr w:w="2712" w:h="408" w:wrap="none" w:hAnchor="page" w:x="4846" w:y="683"/>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p>
      <w:pPr>
        <w:pStyle w:val="Style11"/>
        <w:keepNext w:val="0"/>
        <w:keepLines w:val="0"/>
        <w:framePr w:w="1642" w:h="394" w:wrap="none" w:hAnchor="page" w:x="9680" w:y="433"/>
        <w:widowControl w:val="0"/>
        <w:shd w:val="clear" w:color="auto" w:fill="auto"/>
        <w:bidi w:val="0"/>
        <w:spacing w:before="0" w:after="0" w:line="240" w:lineRule="auto"/>
        <w:ind w:left="0" w:right="0" w:firstLine="0"/>
        <w:jc w:val="left"/>
      </w:pPr>
      <w:r>
        <w:rPr>
          <w:rStyle w:val="CharStyle12"/>
        </w:rPr>
        <w:t>Е.М.Крупина</w:t>
      </w:r>
    </w:p>
    <w:p>
      <w:pPr>
        <w:widowControl w:val="0"/>
        <w:spacing w:line="360" w:lineRule="exact"/>
      </w:pPr>
      <w:r>
        <w:drawing>
          <wp:anchor distT="0" distB="0" distL="0" distR="1786255" simplePos="0" relativeHeight="62914694" behindDoc="1" locked="0" layoutInCell="1" allowOverlap="1">
            <wp:simplePos x="0" y="0"/>
            <wp:positionH relativeFrom="page">
              <wp:posOffset>2622550</wp:posOffset>
            </wp:positionH>
            <wp:positionV relativeFrom="margin">
              <wp:posOffset>311150</wp:posOffset>
            </wp:positionV>
            <wp:extent cx="389890" cy="554990"/>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9"/>
                    <a:stretch/>
                  </pic:blipFill>
                  <pic:spPr>
                    <a:xfrm>
                      <a:ext cx="389890" cy="554990"/>
                    </a:xfrm>
                    <a:prstGeom prst="rect"/>
                  </pic:spPr>
                </pic:pic>
              </a:graphicData>
            </a:graphic>
          </wp:anchor>
        </w:drawing>
      </w:r>
    </w:p>
    <w:p>
      <w:pPr>
        <w:widowControl w:val="0"/>
        <w:spacing w:line="360" w:lineRule="exact"/>
      </w:pPr>
    </w:p>
    <w:p>
      <w:pPr>
        <w:widowControl w:val="0"/>
        <w:spacing w:after="642" w:line="1" w:lineRule="exact"/>
      </w:pPr>
    </w:p>
    <w:p>
      <w:pPr>
        <w:widowControl w:val="0"/>
        <w:spacing w:line="1" w:lineRule="exact"/>
        <w:sectPr>
          <w:footnotePr>
            <w:pos w:val="pageBottom"/>
            <w:numFmt w:val="decimal"/>
            <w:numRestart w:val="continuous"/>
          </w:footnotePr>
          <w:pgSz w:w="11900" w:h="16840"/>
          <w:pgMar w:top="1594" w:right="579" w:bottom="976" w:left="1106" w:header="0" w:footer="3" w:gutter="0"/>
          <w:cols w:space="720"/>
          <w:noEndnote/>
          <w:rtlGutter w:val="0"/>
          <w:docGrid w:linePitch="360"/>
        </w:sectPr>
      </w:pP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Кому выдан: </w:t>
      </w:r>
      <w:r>
        <w:rPr>
          <w:rStyle w:val="CharStyle27"/>
          <w:color w:val="000000"/>
        </w:rPr>
        <w:t>Крупина Екатерина Максимовна</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Сертификат </w:t>
      </w:r>
      <w:r>
        <w:rPr>
          <w:rStyle w:val="CharStyle27"/>
          <w:color w:val="292929"/>
        </w:rPr>
        <w:t xml:space="preserve">№ </w:t>
      </w:r>
      <w:r>
        <w:rPr>
          <w:rStyle w:val="CharStyle27"/>
          <w:lang w:val="en-US" w:eastAsia="en-US"/>
        </w:rPr>
        <w:t>00DA7352B1B585BC8F4F433340FB20CFD</w:t>
      </w:r>
      <w:r>
        <w:rPr>
          <w:rStyle w:val="CharStyle27"/>
          <w:lang w:val="en-US" w:eastAsia="en-US"/>
        </w:rPr>
        <w:t>E</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594" w:right="4213" w:bottom="7480" w:left="4202" w:header="0" w:footer="3" w:gutter="0"/>
          <w:cols w:space="720"/>
          <w:noEndnote/>
          <w:rtlGutter w:val="0"/>
          <w:docGrid w:linePitch="360"/>
        </w:sectPr>
      </w:pPr>
      <w:r>
        <w:rPr>
          <w:rStyle w:val="CharStyle27"/>
        </w:rPr>
        <w:t xml:space="preserve">Действителен с 04.08.2025 </w:t>
      </w:r>
      <w:r>
        <w:rPr>
          <w:rStyle w:val="CharStyle27"/>
          <w:color w:val="5F5F5F"/>
        </w:rPr>
        <w:t xml:space="preserve">по </w:t>
      </w:r>
      <w:r>
        <w:rPr>
          <w:rStyle w:val="CharStyle27"/>
        </w:rPr>
        <w:t>28.10.2026</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1594" w:right="0" w:bottom="976" w:left="0" w:header="0" w:footer="3" w:gutter="0"/>
          <w:cols w:space="720"/>
          <w:noEndnote/>
          <w:rtlGutter w:val="0"/>
          <w:docGrid w:linePitch="360"/>
        </w:sectPr>
      </w:pPr>
    </w:p>
    <w:p>
      <w:pPr>
        <w:pStyle w:val="Style23"/>
        <w:keepNext w:val="0"/>
        <w:keepLines w:val="0"/>
        <w:framePr w:w="2021" w:h="158" w:wrap="none" w:vAnchor="text" w:hAnchor="page" w:x="4909" w:y="754"/>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rFonts w:ascii="Times New Roman" w:eastAsia="Times New Roman" w:hAnsi="Times New Roman" w:cs="Times New Roman"/>
          <w:b/>
          <w:bCs/>
          <w:color w:val="FFFFFF"/>
          <w:sz w:val="12"/>
          <w:szCs w:val="12"/>
        </w:rPr>
        <w:t>СВЕДЕНИЯ О СЕРТИФИКАТЕ ЭП</w:t>
      </w:r>
    </w:p>
    <w:p>
      <w:pPr>
        <w:pStyle w:val="Style23"/>
        <w:keepNext w:val="0"/>
        <w:keepLines w:val="0"/>
        <w:framePr w:w="2712" w:h="408" w:wrap="none" w:vAnchor="text" w:hAnchor="page" w:x="4846" w:y="255"/>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p>
      <w:pPr>
        <w:pStyle w:val="Style11"/>
        <w:keepNext w:val="0"/>
        <w:keepLines w:val="0"/>
        <w:framePr w:w="1608" w:h="398" w:wrap="none" w:vAnchor="text" w:hAnchor="page" w:x="9714" w:y="21"/>
        <w:widowControl w:val="0"/>
        <w:shd w:val="clear" w:color="auto" w:fill="auto"/>
        <w:bidi w:val="0"/>
        <w:spacing w:before="0" w:after="0" w:line="240" w:lineRule="auto"/>
        <w:ind w:left="0" w:right="0" w:firstLine="0"/>
        <w:jc w:val="right"/>
      </w:pPr>
      <w:r>
        <w:rPr>
          <w:rStyle w:val="CharStyle12"/>
        </w:rPr>
        <w:t>В.С.Миляева</w:t>
      </w:r>
    </w:p>
    <w:p>
      <w:pPr>
        <w:widowControl w:val="0"/>
        <w:spacing w:line="360" w:lineRule="exact"/>
      </w:pPr>
      <w:r>
        <w:drawing>
          <wp:anchor distT="0" distB="0" distL="0" distR="1786255" simplePos="0" relativeHeight="62914695" behindDoc="1" locked="0" layoutInCell="1" allowOverlap="1">
            <wp:simplePos x="0" y="0"/>
            <wp:positionH relativeFrom="page">
              <wp:posOffset>2656205</wp:posOffset>
            </wp:positionH>
            <wp:positionV relativeFrom="paragraph">
              <wp:posOffset>73025</wp:posOffset>
            </wp:positionV>
            <wp:extent cx="359410" cy="524510"/>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359410" cy="524510"/>
                    </a:xfrm>
                    <a:prstGeom prst="rect"/>
                  </pic:spPr>
                </pic:pic>
              </a:graphicData>
            </a:graphic>
          </wp:anchor>
        </w:drawing>
      </w:r>
    </w:p>
    <w:p>
      <w:pPr>
        <w:widowControl w:val="0"/>
        <w:spacing w:after="575" w:line="1" w:lineRule="exact"/>
      </w:pPr>
    </w:p>
    <w:p>
      <w:pPr>
        <w:widowControl w:val="0"/>
        <w:spacing w:line="1" w:lineRule="exact"/>
        <w:sectPr>
          <w:footnotePr>
            <w:pos w:val="pageBottom"/>
            <w:numFmt w:val="decimal"/>
            <w:numRestart w:val="continuous"/>
          </w:footnotePr>
          <w:type w:val="continuous"/>
          <w:pgSz w:w="11900" w:h="16840"/>
          <w:pgMar w:top="1594" w:right="579" w:bottom="976" w:left="1106" w:header="0" w:footer="3" w:gutter="0"/>
          <w:cols w:space="720"/>
          <w:noEndnote/>
          <w:rtlGutter w:val="0"/>
          <w:docGrid w:linePitch="360"/>
        </w:sectPr>
      </w:pP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Кому выдан: </w:t>
      </w:r>
      <w:r>
        <w:rPr>
          <w:rStyle w:val="CharStyle27"/>
          <w:color w:val="000000"/>
        </w:rPr>
        <w:t>Миляева Валерия Сергеевна</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Сертификат </w:t>
      </w:r>
      <w:r>
        <w:rPr>
          <w:rStyle w:val="CharStyle27"/>
          <w:color w:val="292929"/>
        </w:rPr>
        <w:t xml:space="preserve">№ </w:t>
      </w:r>
      <w:r>
        <w:rPr>
          <w:rStyle w:val="CharStyle27"/>
        </w:rPr>
        <w:t>615579531</w:t>
      </w:r>
      <w:r>
        <w:rPr>
          <w:rStyle w:val="CharStyle27"/>
          <w:lang w:val="en-US" w:eastAsia="en-US"/>
        </w:rPr>
        <w:t>CF23825F884A92A232AB4B6</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594" w:right="4438" w:bottom="7480" w:left="4202" w:header="0" w:footer="3" w:gutter="0"/>
          <w:cols w:space="720"/>
          <w:noEndnote/>
          <w:rtlGutter w:val="0"/>
          <w:docGrid w:linePitch="360"/>
        </w:sectPr>
      </w:pPr>
      <w:r>
        <w:rPr>
          <w:rStyle w:val="CharStyle27"/>
        </w:rPr>
        <w:t xml:space="preserve">Действителен с 30.03.2026 </w:t>
      </w:r>
      <w:r>
        <w:rPr>
          <w:rStyle w:val="CharStyle27"/>
          <w:color w:val="5F5F5F"/>
        </w:rPr>
        <w:t xml:space="preserve">по </w:t>
      </w:r>
      <w:r>
        <w:rPr>
          <w:rStyle w:val="CharStyle27"/>
        </w:rPr>
        <w:t>23.06.2027</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6" w:after="6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94" w:right="0" w:bottom="1594" w:left="0" w:header="0" w:footer="3" w:gutter="0"/>
          <w:cols w:space="720"/>
          <w:noEndnote/>
          <w:rtlGutter w:val="0"/>
          <w:docGrid w:linePitch="360"/>
        </w:sectPr>
      </w:pPr>
    </w:p>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Исп.Русскина И.В.</w:t>
      </w:r>
    </w:p>
    <w:p>
      <w:pPr>
        <w:pStyle w:val="Style21"/>
        <w:keepNext w:val="0"/>
        <w:keepLines w:val="0"/>
        <w:widowControl w:val="0"/>
        <w:shd w:val="clear" w:color="auto" w:fill="auto"/>
        <w:bidi w:val="0"/>
        <w:spacing w:before="0" w:after="0" w:line="240" w:lineRule="auto"/>
        <w:ind w:left="0" w:right="0" w:firstLine="0"/>
        <w:jc w:val="left"/>
        <w:rPr>
          <w:sz w:val="22"/>
          <w:szCs w:val="22"/>
        </w:rPr>
      </w:pPr>
      <w:r>
        <w:rPr>
          <w:rStyle w:val="CharStyle22"/>
          <w:sz w:val="22"/>
          <w:szCs w:val="22"/>
        </w:rPr>
        <w:t>тел.(8512) 44-66-57, вн.030-123</w:t>
      </w:r>
    </w:p>
    <w:sectPr>
      <w:footnotePr>
        <w:pos w:val="pageBottom"/>
        <w:numFmt w:val="decimal"/>
        <w:numRestart w:val="continuous"/>
      </w:footnotePr>
      <w:type w:val="continuous"/>
      <w:pgSz w:w="11900" w:h="16840"/>
      <w:pgMar w:top="1594" w:right="7822" w:bottom="159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10010140</wp:posOffset>
              </wp:positionV>
              <wp:extent cx="655320" cy="128270"/>
              <wp:wrapNone/>
              <wp:docPr id="2" name="Shape 2"/>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2026-2588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88.20000000000005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2026-2588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655320" cy="128270"/>
              <wp:wrapNone/>
              <wp:docPr id="4" name="Shape 4"/>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2026-2588</w:t>
                          </w:r>
                        </w:p>
                      </w:txbxContent>
                    </wps:txbx>
                    <wps:bodyPr wrap="none" lIns="0" tIns="0" rIns="0" bIns="0">
                      <a:spAutoFit/>
                    </wps:bodyPr>
                  </wps:wsp>
                </a:graphicData>
              </a:graphic>
            </wp:anchor>
          </w:drawing>
        </mc:Choice>
        <mc:Fallback>
          <w:pict>
            <v:shape id="_x0000_s1030" type="#_x0000_t202" style="position:absolute;margin-left:57.25pt;margin-top:775.70000000000005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Heading #2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7">
    <w:name w:val="Heading #1_"/>
    <w:basedOn w:val="DefaultParagraphFont"/>
    <w:link w:val="Style16"/>
    <w:rPr>
      <w:rFonts w:ascii="Arial" w:eastAsia="Arial" w:hAnsi="Arial" w:cs="Arial"/>
      <w:b w:val="0"/>
      <w:bCs w:val="0"/>
      <w:i w:val="0"/>
      <w:iCs w:val="0"/>
      <w:smallCaps w:val="0"/>
      <w:strike w:val="0"/>
      <w:sz w:val="34"/>
      <w:szCs w:val="34"/>
      <w:u w:val="none"/>
      <w:lang w:val="en-US" w:eastAsia="en-US"/>
    </w:rPr>
  </w:style>
  <w:style w:type="character" w:customStyle="1" w:styleId="CharStyle22">
    <w:name w:val="Body text (3)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4">
    <w:name w:val="Picture caption_"/>
    <w:basedOn w:val="DefaultParagraphFont"/>
    <w:link w:val="Style23"/>
    <w:rPr>
      <w:rFonts w:ascii="Georgia" w:eastAsia="Georgia" w:hAnsi="Georgia" w:cs="Georgia"/>
      <w:b w:val="0"/>
      <w:bCs w:val="0"/>
      <w:i w:val="0"/>
      <w:iCs w:val="0"/>
      <w:smallCaps w:val="0"/>
      <w:strike w:val="0"/>
      <w:color w:val="292929"/>
      <w:sz w:val="11"/>
      <w:szCs w:val="11"/>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140" w:line="307"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5)"/>
    <w:basedOn w:val="Normal"/>
    <w:link w:val="CharStyle9"/>
    <w:pPr>
      <w:widowControl w:val="0"/>
      <w:shd w:val="clear" w:color="auto" w:fill="auto"/>
      <w:spacing w:after="180" w:line="26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Heading #2"/>
    <w:basedOn w:val="Normal"/>
    <w:link w:val="CharStyle15"/>
    <w:pPr>
      <w:widowControl w:val="0"/>
      <w:shd w:val="clear" w:color="auto" w:fill="auto"/>
      <w:spacing w:after="28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6">
    <w:name w:val="Heading #1"/>
    <w:basedOn w:val="Normal"/>
    <w:link w:val="CharStyle17"/>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1">
    <w:name w:val="Body text (3)"/>
    <w:basedOn w:val="Normal"/>
    <w:link w:val="CharStyle22"/>
    <w:pPr>
      <w:widowControl w:val="0"/>
      <w:shd w:val="clear" w:color="auto" w:fill="auto"/>
      <w:spacing w:after="140"/>
      <w:ind w:firstLine="280"/>
    </w:pPr>
    <w:rPr>
      <w:rFonts w:ascii="Times New Roman" w:eastAsia="Times New Roman" w:hAnsi="Times New Roman" w:cs="Times New Roman"/>
      <w:b w:val="0"/>
      <w:bCs w:val="0"/>
      <w:i w:val="0"/>
      <w:iCs w:val="0"/>
      <w:smallCaps w:val="0"/>
      <w:strike w:val="0"/>
      <w:u w:val="none"/>
    </w:rPr>
  </w:style>
  <w:style w:type="paragraph" w:customStyle="1" w:styleId="Style23">
    <w:name w:val="Picture caption"/>
    <w:basedOn w:val="Normal"/>
    <w:link w:val="CharStyle2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Body text (2)"/>
    <w:basedOn w:val="Normal"/>
    <w:link w:val="CharStyle27"/>
    <w:pPr>
      <w:widowControl w:val="0"/>
      <w:shd w:val="clear" w:color="auto" w:fill="auto"/>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