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0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097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097"/>
          <w:sz w:val="19"/>
          <w:szCs w:val="19"/>
        </w:rPr>
        <w:t>Федеральной антимонопольной службы</w:t>
        <w:br/>
        <w:t>по Тверской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097"/>
          <w:sz w:val="16"/>
          <w:szCs w:val="16"/>
        </w:rPr>
        <w:t>пл. Святого Благоверного Князя</w:t>
        <w:br/>
        <w:t>Михаила Тверского, д.5, г.Тверь, 170100</w:t>
        <w:br/>
        <w:t>тел. (4822) 32-08-32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69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0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"mailto:to69@fas.gov.ru" </w:instrText>
      </w:r>
      <w:r>
        <w:fldChar w:fldCharType="separate"/>
      </w:r>
      <w:r>
        <w:rPr>
          <w:rStyle w:val="CharStyle3"/>
          <w:color w:val="476097"/>
          <w:sz w:val="16"/>
          <w:szCs w:val="16"/>
          <w:lang w:val="en-US" w:eastAsia="en-US"/>
        </w:rPr>
        <w:t>to69@fas.gov.ru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9.05.2026</w:t>
        <w:tab/>
      </w:r>
      <w:r>
        <w:fldChar w:fldCharType="end"/>
      </w:r>
      <w:r>
        <w:rPr>
          <w:rStyle w:val="CharStyle11"/>
        </w:rPr>
        <w:t>№ КМ/3256/26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476097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Дело № 069/06/105-442/2026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 xml:space="preserve">Министерство здравоохранения Тверской области </w:t>
      </w:r>
      <w:r>
        <w:fldChar w:fldCharType="begin"/>
      </w:r>
      <w:r>
        <w:rPr/>
        <w:instrText> HYPERLINK "mailto:dep_zdrav@tverreg.ru" </w:instrText>
      </w:r>
      <w:r>
        <w:fldChar w:fldCharType="separate"/>
      </w:r>
      <w:r>
        <w:rPr>
          <w:rStyle w:val="CharStyle3"/>
          <w:sz w:val="22"/>
          <w:szCs w:val="22"/>
          <w:lang w:val="en-US" w:eastAsia="en-US"/>
        </w:rPr>
        <w:t>dep_zdrav@tverreg.ru</w:t>
      </w:r>
      <w:r>
        <w:fldChar w:fldCharType="end"/>
      </w:r>
      <w:r>
        <w:rPr>
          <w:rStyle w:val="CharStyle3"/>
          <w:sz w:val="22"/>
          <w:szCs w:val="22"/>
          <w:lang w:val="en-US" w:eastAsia="en-US"/>
        </w:rPr>
        <w:t xml:space="preserve"> </w:t>
      </w:r>
      <w:r>
        <w:rPr>
          <w:rStyle w:val="CharStyle3"/>
          <w:sz w:val="22"/>
          <w:szCs w:val="22"/>
        </w:rPr>
        <w:t>(э)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Уполномоченный орган: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Комитет государственного заказа Тверской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  <w:lang w:val="en-US" w:eastAsia="en-US"/>
        </w:rPr>
        <w:t>e-mail:</w:t>
      </w:r>
      <w:r>
        <w:fldChar w:fldCharType="begin"/>
      </w:r>
      <w:r>
        <w:rPr/>
        <w:instrText> HYPERLINK "mailto:kom_goszakaza@tverreg.ru" </w:instrText>
      </w:r>
      <w:r>
        <w:fldChar w:fldCharType="separate"/>
      </w:r>
      <w:r>
        <w:rPr>
          <w:rStyle w:val="CharStyle3"/>
          <w:sz w:val="22"/>
          <w:szCs w:val="22"/>
          <w:lang w:val="en-US" w:eastAsia="en-US"/>
        </w:rPr>
        <w:t>kom_goszakaza@tverreg.ru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 xml:space="preserve">ООО Торговый дом «Медлайт» </w:t>
      </w:r>
      <w:r>
        <w:fldChar w:fldCharType="begin"/>
      </w:r>
      <w:r>
        <w:rPr/>
        <w:instrText> HYPERLINK "mailto:tdmedlight@yandex.ru" </w:instrText>
      </w:r>
      <w:r>
        <w:fldChar w:fldCharType="separate"/>
      </w:r>
      <w:r>
        <w:rPr>
          <w:rStyle w:val="CharStyle3"/>
          <w:sz w:val="22"/>
          <w:szCs w:val="22"/>
          <w:lang w:val="en-US" w:eastAsia="en-US"/>
        </w:rPr>
        <w:t>tdmedlight@yandex.ru</w:t>
      </w:r>
      <w:r>
        <w:fldChar w:fldCharType="end"/>
      </w:r>
      <w:r>
        <w:rPr>
          <w:rStyle w:val="CharStyle3"/>
          <w:sz w:val="22"/>
          <w:szCs w:val="22"/>
          <w:lang w:val="en-US" w:eastAsia="en-US"/>
        </w:rPr>
        <w:t xml:space="preserve"> </w:t>
      </w:r>
      <w:r>
        <w:rPr>
          <w:rStyle w:val="CharStyle3"/>
          <w:sz w:val="22"/>
          <w:szCs w:val="22"/>
        </w:rPr>
        <w:t>(э)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Оператор электронной площадки: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РТС-тендер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7" w:right="675" w:bottom="1313" w:left="1130" w:header="0" w:footer="3" w:gutter="0"/>
          <w:pgNumType w:start="1"/>
          <w:cols w:num="2" w:space="720" w:equalWidth="0">
            <w:col w:w="4267" w:space="1075"/>
            <w:col w:w="475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3"/>
          <w:sz w:val="22"/>
          <w:szCs w:val="22"/>
          <w:lang w:val="en-US" w:eastAsia="en-US"/>
        </w:rPr>
        <w:t>ko@rts-tender.ru</w:t>
      </w:r>
      <w:r>
        <w:fldChar w:fldCharType="end"/>
      </w:r>
      <w:r>
        <w:rPr>
          <w:rStyle w:val="CharStyle3"/>
          <w:sz w:val="22"/>
          <w:szCs w:val="22"/>
          <w:lang w:val="en-US" w:eastAsia="en-US"/>
        </w:rPr>
        <w:t>, rts-</w:t>
      </w:r>
      <w:r>
        <w:rPr>
          <w:rStyle w:val="CharStyle3"/>
          <w:sz w:val="22"/>
          <w:szCs w:val="22"/>
          <w:lang w:val="en-US" w:eastAsia="en-US"/>
        </w:rPr>
        <w:t>tender.ru</w:t>
      </w:r>
      <w:r>
        <w:rPr>
          <w:rStyle w:val="CharStyle3"/>
          <w:sz w:val="22"/>
          <w:szCs w:val="22"/>
          <w:lang w:val="en-US" w:eastAsia="en-US"/>
        </w:rPr>
        <w:t xml:space="preserve"> </w:t>
      </w:r>
      <w:r>
        <w:rPr>
          <w:rStyle w:val="CharStyle3"/>
          <w:sz w:val="22"/>
          <w:szCs w:val="22"/>
        </w:rPr>
        <w:t>(э)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7" w:right="0" w:bottom="12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Р Е Ш Е Н И 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  <w:b/>
          <w:bCs/>
        </w:rPr>
        <w:t>по делу № 069/06/105-442/2026 о рассмотрении жалобы на нарушение</w:t>
        <w:br/>
        <w:t>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Резолютивная часть решения оглашена «14» мая 2026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В полном объеме решение изготовлено «19» мая 2026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14"/>
        </w:rPr>
        <w:t>г. Тверь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Мурзин К.И.– руководитель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Мавлютова Д.В. - специалист-эксперт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Левашова Н.Д. - старший специалист 1 разряда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участии посредством системы видеоконференц-связи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Министерства здравоохранения Тверской области (далее – Заказчик): Чеснокова А.Н. (по доверенности).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ООО Торговый дом «Медлайт» (далее – Заявитель): Коновлева К.А.(по доверенности),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Уполномоченного органа — Комитета государственного заказа Тверской области: Смирнова В.О. (по доверенности),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рассмотрев посредством системы видеоконференц-связи жалобу Заявителя на действия закупочной комиссии при проведении запроса котировок в электронной форме на поставку медицинских изделий для нужд ГБУЗ ТО "ОКПЦ им. Е.М. Бакуниной" (Светильник операционный) на 2026 год (извещение № 0136500001126002856 от 07.05.2026),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76200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 проведя в соответствии с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44- </w:t>
      </w:r>
      <w:r>
        <w:rPr>
          <w:rStyle w:val="CharStyle14"/>
        </w:rPr>
        <w:t xml:space="preserve">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 внеплановую проверку,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07.05.2026 </w:t>
      </w:r>
      <w:r>
        <w:rPr>
          <w:rStyle w:val="CharStyle14"/>
        </w:rPr>
        <w:t xml:space="preserve">Комитетом на основании заявки Министерства в единой информационной системе в сфере закупок было размещено извещение </w:t>
      </w:r>
      <w:r>
        <w:rPr>
          <w:rStyle w:val="CharStyle14"/>
          <w:lang w:val="en-US" w:eastAsia="en-US"/>
        </w:rPr>
        <w:t xml:space="preserve">№ 0136500001126002856 </w:t>
      </w:r>
      <w:r>
        <w:rPr>
          <w:rStyle w:val="CharStyle14"/>
        </w:rPr>
        <w:t xml:space="preserve">о проведении запроса котировок в электронной форме на поставку медицинских изделий для нужд ГБУЗ ТО «ОКПЦ им. Е.М. Бакуниной» (Светильник операционный) на </w:t>
      </w:r>
      <w:r>
        <w:rPr>
          <w:rStyle w:val="CharStyle14"/>
          <w:lang w:val="en-US" w:eastAsia="en-US"/>
        </w:rPr>
        <w:t xml:space="preserve">2026 </w:t>
      </w:r>
      <w:r>
        <w:rPr>
          <w:rStyle w:val="CharStyle14"/>
        </w:rPr>
        <w:t>год.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Тверское УФАС России </w:t>
      </w:r>
      <w:r>
        <w:rPr>
          <w:rStyle w:val="CharStyle14"/>
          <w:lang w:val="en-US" w:eastAsia="en-US"/>
        </w:rPr>
        <w:t xml:space="preserve">14.05.2026 </w:t>
      </w:r>
      <w:r>
        <w:rPr>
          <w:rStyle w:val="CharStyle14"/>
        </w:rPr>
        <w:t xml:space="preserve">поступила жалоба Заявителя </w:t>
      </w:r>
      <w:r>
        <w:rPr>
          <w:rStyle w:val="CharStyle14"/>
          <w:lang w:val="en-US" w:eastAsia="en-US"/>
        </w:rPr>
        <w:t xml:space="preserve">№4175/26 </w:t>
      </w:r>
      <w:r>
        <w:rPr>
          <w:rStyle w:val="CharStyle14"/>
        </w:rPr>
        <w:t>на действия (бездействия) закупочной комиссии при проведении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доводам жалобы Заявитель указывает на то, что в запросе котировок Уполномоченным органом (Заказчиком) установлена техническая характеристика «Наличие аварийного источника питания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Нет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Значение характеристики не может изменяться участником закупки».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Установление указанной характеристики, по мнению Заявителя, со значением характеристики «Нет» </w:t>
      </w:r>
      <w:r>
        <w:rPr>
          <w:rStyle w:val="CharStyle14"/>
          <w:lang w:val="en-US" w:eastAsia="en-US"/>
        </w:rPr>
        <w:t xml:space="preserve">, </w:t>
      </w:r>
      <w:r>
        <w:rPr>
          <w:rStyle w:val="CharStyle14"/>
        </w:rPr>
        <w:t>свидетельствует об ограничении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Тверского УФАС России, рассмотрев материалы дела,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информацию о наименовании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при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описание объекта закупки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утверждены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Правила).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Правил заказчики обязаны применять информацию, включенную в позицию каталога в соответствии с подпунктами «б»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«г» и «е»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«з»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145, </w:t>
      </w:r>
      <w:r>
        <w:rPr>
          <w:rStyle w:val="CharStyle14"/>
        </w:rPr>
        <w:t>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наименование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Заказчиком для закупки светильника операционного выбран код каталога товаров, работ, услуг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КТРУ) </w:t>
      </w:r>
      <w:r>
        <w:rPr>
          <w:rStyle w:val="CharStyle14"/>
          <w:lang w:val="en-US" w:eastAsia="en-US"/>
        </w:rPr>
        <w:t xml:space="preserve">– 32.50.50.190-00002968 –«Светильник </w:t>
      </w:r>
      <w:r>
        <w:rPr>
          <w:rStyle w:val="CharStyle14"/>
        </w:rPr>
        <w:t xml:space="preserve">операционный». Описание объекта закупки (техническое задание) сформировано заказчиком в полном соответствии с позицией КТРУ. Обжалуемая заявителем характеристика «Наличие аварийного источника питания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нет» в соответствии с позицией КТРУ является обязательной для применения.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пояснениям Заказчик и Уполномоченного органа, при формировании описания объекта закупки проводился анализ рынка, в результате которого установлено как минимум два производителя светильника операционного, характеристики которого соответствуют характеристикам, указанным заказчиком в описании объекта закупки: ООО «Аксима» (Россия), регистрационное удостоверение РЗН </w:t>
      </w:r>
      <w:r>
        <w:rPr>
          <w:rStyle w:val="CharStyle14"/>
          <w:lang w:val="en-US" w:eastAsia="en-US"/>
        </w:rPr>
        <w:t xml:space="preserve">2016/4555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30.09.2026 </w:t>
      </w:r>
      <w:r>
        <w:rPr>
          <w:rStyle w:val="CharStyle14"/>
        </w:rPr>
        <w:t xml:space="preserve">и ООО «Текомир Медицина» (Республика Беларусь), регистрационное удостоверение РЗН </w:t>
      </w:r>
      <w:r>
        <w:rPr>
          <w:rStyle w:val="CharStyle14"/>
          <w:lang w:val="en-US" w:eastAsia="en-US"/>
        </w:rPr>
        <w:t xml:space="preserve">2024/22463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22.04.2024.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Данные товары разрешены для реализации на территории Российской Федерации, не являются товарами, изъятыми из оборота или ограниченными в обороте, что указывает на наличие для заявителя свободной и беспрепятственной возможности приобрести любой из указанных товаров и стать поставщиком по контракту, подлежащему заключению по итогам проводимой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Заявитель в жалобе указывает, что заказчик при описании объекта закупки установил характеристику с нарушением требований действующего законодательства, что приводит к ограничению конкуренции для добросовестных участников. Однако доказательств, что на рынке отсутствует товар с указанными в описании объекта закупки характеристиками, заявитель в жалобе не приводит.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>Закона о контрактной системе при проведении конкурентных способов участник закупки в соответствии с законодательством Российской Федерации имеет право обжаловать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Заявителем в жалобе не указано, каким образом описание объекта закупки нарушает его права и законные интересы. Отсутствие у заявителя возможности предложить товар, соответствующий описанию объекта закупки (техническому заданию), не означает нарушение принципов конкуренции. Заказчик вправе определить требования к характеристикам товара исходя из своих нужд. При этом следует отметить, что оспариваемые характеристики товара включены в позицию КТРУ, которую заказчик использовал при описании объекта закупки.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Кроме того, в соответствии с пунктом </w:t>
      </w:r>
      <w:r>
        <w:rPr>
          <w:rStyle w:val="CharStyle14"/>
          <w:lang w:val="en-US" w:eastAsia="en-US"/>
        </w:rPr>
        <w:t xml:space="preserve">3.12 </w:t>
      </w:r>
      <w:r>
        <w:rPr>
          <w:rStyle w:val="CharStyle14"/>
        </w:rPr>
        <w:t xml:space="preserve">ГОСТ </w:t>
      </w:r>
      <w:r>
        <w:rPr>
          <w:rStyle w:val="CharStyle14"/>
          <w:lang w:val="en-US" w:eastAsia="en-US"/>
        </w:rPr>
        <w:t xml:space="preserve">26368-2024 </w:t>
      </w:r>
      <w:r>
        <w:rPr>
          <w:rStyle w:val="CharStyle14"/>
        </w:rPr>
        <w:t xml:space="preserve">«Светильники медицинские. Общие технические требования и методы испытаний», на который ссылается заявитель жалобы, операционный (хирургический) светильник: общий термин, применяемый к вспомогательным, основным хирургическим светильникам и хирургическим осветительным системам. В примечании к пункту </w:t>
      </w:r>
      <w:r>
        <w:rPr>
          <w:rStyle w:val="CharStyle14"/>
          <w:lang w:val="en-US" w:eastAsia="en-US"/>
        </w:rPr>
        <w:t xml:space="preserve">4.1 </w:t>
      </w:r>
      <w:r>
        <w:rPr>
          <w:rStyle w:val="CharStyle14"/>
        </w:rPr>
        <w:t xml:space="preserve">ГОСТ </w:t>
      </w:r>
      <w:r>
        <w:rPr>
          <w:rStyle w:val="CharStyle14"/>
          <w:lang w:val="en-US" w:eastAsia="en-US"/>
        </w:rPr>
        <w:t xml:space="preserve">26368-2024 </w:t>
      </w:r>
      <w:r>
        <w:rPr>
          <w:rStyle w:val="CharStyle14"/>
        </w:rPr>
        <w:t xml:space="preserve">указано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операционные (хирургические) светильники могут иметь специальные дополнительные устройства подключения к блоку аварийного питания. Следовательно, комплектация вышеуказанных светильников возможна как с устройством аварийного источник питания, так и без него.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5.16 </w:t>
      </w:r>
      <w:r>
        <w:rPr>
          <w:rStyle w:val="CharStyle14"/>
        </w:rPr>
        <w:t>данного ГОСТ предусмотрено, что в случае прерывания электропитания основные хирургические светильники и хирургические осветительные системы должны автоматически переключаться на дополнительные источники питания аварийных устройств, а не иметь аварийный источник питания.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Также Комиссия учитывает, что сам факт наличия в КТРУ возможности выбора значения требования к характеристике «Нет» свидетельствует о допустимости такого выбора. Кроме того, специфика работы с КТРУ в ЕИС не позволяет заказчику по спорной позиции выбрать значение «Да» или «Нет», допустив участие с обоими типами товаров.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Помимо этого, указанное требование (об автоматическом переключении на дополнительный источник питания) не распространяется на вспомогательные хирургические светильники.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вышеизложенного, руководствуясь ч.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нужд», Комиссия Тверского УФАС России 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Признать жалобу ООО Торговый дом «Медлайт»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Настоящее решение в течение трех месяцев со дня его изготовления может быть обжаловано в Арбитражный суд Тверской области, находящийся по адресу: </w:t>
      </w:r>
      <w:r>
        <w:rPr>
          <w:rStyle w:val="CharStyle14"/>
          <w:lang w:val="en-US" w:eastAsia="en-US"/>
        </w:rPr>
        <w:t xml:space="preserve">170100 </w:t>
      </w:r>
      <w:r>
        <w:rPr>
          <w:rStyle w:val="CharStyle14"/>
        </w:rPr>
        <w:t xml:space="preserve">г. Тверь, пл. Святого Благоверного Князя Михаила Тверского, д. </w:t>
      </w:r>
      <w:r>
        <w:rPr>
          <w:rStyle w:val="CharStyle14"/>
          <w:lang w:val="en-US" w:eastAsia="en-US"/>
        </w:rPr>
        <w:t>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7" w:right="542" w:bottom="129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1018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694815" cy="23177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9.pt;width:133.44999999999999pt;height:18.25pt;z-index:-125829374;mso-wrap-distance-left:0;mso-wrap-distance-top:9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1130" distB="5715" distL="0" distR="1786255" simplePos="0" relativeHeight="125829381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151130</wp:posOffset>
            </wp:positionV>
            <wp:extent cx="359410" cy="4025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3082925</wp:posOffset>
                </wp:positionH>
                <wp:positionV relativeFrom="paragraph">
                  <wp:posOffset>242570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75pt;margin-top:19.1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9250" distB="0" distL="0" distR="0" simplePos="0" relativeHeight="125829382" behindDoc="0" locked="0" layoutInCell="1" allowOverlap="1">
                <wp:simplePos x="0" y="0"/>
                <wp:positionH relativeFrom="page">
                  <wp:posOffset>6252845</wp:posOffset>
                </wp:positionH>
                <wp:positionV relativeFrom="paragraph">
                  <wp:posOffset>349250</wp:posOffset>
                </wp:positionV>
                <wp:extent cx="932815" cy="2070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К.И. Мурзин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2.35000000000002pt;margin-top:27.5pt;width:73.450000000000003pt;height:16.300000000000001pt;z-index:-125829371;mso-wrap-distance-left:0;mso-wrap-distance-top:27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К.И. Мурзин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Мурзин Константин Иванович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3F746239F930F0A13E5112268CE1D90C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19.01.2026 </w:t>
      </w:r>
      <w:r>
        <w:rPr>
          <w:rStyle w:val="CharStyle3"/>
          <w:rFonts w:ascii="Arial" w:eastAsia="Arial" w:hAnsi="Arial" w:cs="Arial"/>
          <w:color w:val="5E5E5E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14.04.2027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190500</wp:posOffset>
            </wp:positionV>
            <wp:extent cx="359410" cy="39624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278765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21.9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10" w:line="240" w:lineRule="auto"/>
        <w:ind w:left="1740" w:right="0" w:firstLine="0"/>
        <w:jc w:val="left"/>
      </w:pPr>
      <w:r>
        <w:rPr>
          <w:rStyle w:val="CharStyle14"/>
        </w:rPr>
        <w:t>Д.В. Мавлютова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Мавлютова Дарина Владимировна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795C300FFA0B67EB235D5ACDAFC965EB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6" w:bottom="1157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26.02.2026 </w:t>
      </w:r>
      <w:r>
        <w:rPr>
          <w:rStyle w:val="CharStyle3"/>
          <w:rFonts w:ascii="Arial" w:eastAsia="Arial" w:hAnsi="Arial" w:cs="Arial"/>
          <w:color w:val="5E5E5E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22.05.2027</w:t>
      </w:r>
    </w:p>
    <w:p>
      <w:pPr>
        <w:pStyle w:val="Style2"/>
        <w:keepNext w:val="0"/>
        <w:keepLines w:val="0"/>
        <w:framePr w:w="1296" w:h="370" w:wrap="none" w:vAnchor="text" w:hAnchor="page" w:x="1108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sz w:val="14"/>
          <w:szCs w:val="14"/>
        </w:rPr>
        <w:t>Исп.Мавлютова Д.В. тел.8(4822)34-24-31</w:t>
      </w:r>
    </w:p>
    <w:p>
      <w:pPr>
        <w:pStyle w:val="Style16"/>
        <w:keepNext w:val="0"/>
        <w:keepLines w:val="0"/>
        <w:framePr w:w="2021" w:h="158" w:wrap="none" w:vAnchor="text" w:hAnchor="page" w:x="4905" w:y="95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16"/>
        <w:keepNext w:val="0"/>
        <w:keepLines w:val="0"/>
        <w:framePr w:w="2712" w:h="408" w:wrap="none" w:vAnchor="text" w:hAnchor="page" w:x="4842" w:y="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3"/>
        <w:keepNext w:val="0"/>
        <w:keepLines w:val="0"/>
        <w:framePr w:w="1699" w:h="370" w:wrap="none" w:vAnchor="text" w:hAnchor="page" w:x="96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Н.Д. Левашова</w:t>
      </w:r>
    </w:p>
    <w:p>
      <w:pPr>
        <w:pStyle w:val="Style2"/>
        <w:keepNext w:val="0"/>
        <w:keepLines w:val="0"/>
        <w:framePr w:w="3461" w:h="475" w:wrap="none" w:vAnchor="text" w:hAnchor="page" w:x="4199" w:y="1196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 xml:space="preserve">ЛЕВАШОВА НАТАЛИЯ ДИМИТРИЕВНА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009598F2AB9BD37128FFB1FC012C291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ОЕВ</w:t>
      </w:r>
    </w:p>
    <w:p>
      <w:pPr>
        <w:pStyle w:val="Style2"/>
        <w:keepNext w:val="0"/>
        <w:keepLines w:val="0"/>
        <w:framePr w:w="3461" w:h="475" w:wrap="none" w:vAnchor="text" w:hAnchor="page" w:x="4199" w:y="1196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25.03.2026 </w:t>
      </w:r>
      <w:r>
        <w:rPr>
          <w:rStyle w:val="CharStyle3"/>
          <w:rFonts w:ascii="Arial" w:eastAsia="Arial" w:hAnsi="Arial" w:cs="Arial"/>
          <w:color w:val="5E5E5E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18.06.2027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6" behindDoc="1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198120</wp:posOffset>
            </wp:positionV>
            <wp:extent cx="359410" cy="52451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64" w:right="546" w:bottom="11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9964420</wp:posOffset>
              </wp:positionV>
              <wp:extent cx="61849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2026-3681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4.60000000000002pt;width:48.700000000000003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2026-3681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1849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2026-3681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48.700000000000003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2026-3681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710565</wp:posOffset>
              </wp:positionV>
              <wp:extent cx="3365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25pt;margin-top:55.950000000000003pt;width:2.64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png"/><Relationship Id="rId10" Type="http://schemas.openxmlformats.org/officeDocument/2006/relationships/image" Target="media/image1.pn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