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color w:val="476197"/>
          <w:sz w:val="17"/>
          <w:szCs w:val="17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  <w:rPr>
          <w:sz w:val="19"/>
          <w:szCs w:val="19"/>
        </w:rPr>
      </w:pPr>
      <w:r>
        <w:rPr>
          <w:rStyle w:val="CharStyle3"/>
          <w:b/>
          <w:bCs/>
          <w:color w:val="476197"/>
          <w:sz w:val="19"/>
          <w:szCs w:val="19"/>
        </w:rPr>
        <w:t>УПРАВЛЕНИЕ</w:t>
        <w:br/>
        <w:t>Федеральной антимонопольной службы</w:t>
        <w:br/>
        <w:t>по Камчатскому краю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  <w:rPr>
          <w:sz w:val="16"/>
          <w:szCs w:val="16"/>
        </w:rPr>
      </w:pPr>
      <w:r>
        <w:rPr>
          <w:rStyle w:val="CharStyle3"/>
          <w:color w:val="476197"/>
          <w:sz w:val="16"/>
          <w:szCs w:val="16"/>
        </w:rPr>
        <w:t>пр-т Карла Маркса, д. 29/2,</w:t>
        <w:br/>
        <w:t>Петропавловск-Камчатский, 683031</w:t>
        <w:br/>
        <w:t xml:space="preserve">тел. </w:t>
      </w:r>
      <w:r>
        <w:rPr>
          <w:rStyle w:val="CharStyle3"/>
          <w:color w:val="737B8C"/>
          <w:sz w:val="16"/>
          <w:szCs w:val="16"/>
        </w:rPr>
        <w:t xml:space="preserve">/ </w:t>
      </w:r>
      <w:r>
        <w:rPr>
          <w:rStyle w:val="CharStyle3"/>
          <w:color w:val="476197"/>
          <w:sz w:val="16"/>
          <w:szCs w:val="16"/>
        </w:rPr>
        <w:t>факс (499) 755-23-23 доб. 041-100</w:t>
        <w:br/>
      </w:r>
      <w:r>
        <w:rPr>
          <w:rStyle w:val="CharStyle3"/>
          <w:color w:val="476197"/>
          <w:sz w:val="16"/>
          <w:szCs w:val="16"/>
          <w:lang w:val="en-US" w:eastAsia="en-US"/>
        </w:rPr>
        <w:t xml:space="preserve">e-mail: </w:t>
      </w:r>
      <w:r>
        <w:fldChar w:fldCharType="begin"/>
      </w:r>
      <w:r>
        <w:rPr/>
        <w:instrText> HYPERLINK "mailto:to41@fas.gov.ru" </w:instrText>
      </w:r>
      <w:r>
        <w:fldChar w:fldCharType="separate"/>
      </w:r>
      <w:r>
        <w:rPr>
          <w:rStyle w:val="CharStyle3"/>
          <w:color w:val="476197"/>
          <w:sz w:val="16"/>
          <w:szCs w:val="16"/>
          <w:lang w:val="en-US" w:eastAsia="en-US"/>
        </w:rPr>
        <w:t>to41@fas.gov.ru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843" w:val="left"/>
        </w:tabs>
        <w:bidi w:val="0"/>
        <w:spacing w:before="0" w:after="320" w:line="240" w:lineRule="auto"/>
        <w:ind w:left="0" w:right="0" w:firstLine="0"/>
        <w:jc w:val="center"/>
        <w:rPr>
          <w:sz w:val="30"/>
          <w:szCs w:val="30"/>
        </w:rPr>
      </w:pPr>
      <w:r>
        <w:rPr>
          <w:rStyle w:val="CharStyle3"/>
          <w:sz w:val="30"/>
          <w:szCs w:val="30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3"/>
          <w:sz w:val="30"/>
          <w:szCs w:val="30"/>
        </w:rPr>
        <w:t>1.0</w:t>
      </w:r>
      <w:r>
        <w:rPr>
          <w:rStyle w:val="CharStyle3"/>
          <w:sz w:val="30"/>
          <w:szCs w:val="30"/>
          <w:u w:val="single"/>
        </w:rPr>
        <w:t>5.2026</w:t>
      </w:r>
      <w:r>
        <w:rPr>
          <w:rStyle w:val="CharStyle3"/>
          <w:sz w:val="30"/>
          <w:szCs w:val="30"/>
        </w:rPr>
        <w:tab/>
      </w:r>
      <w:r>
        <w:fldChar w:fldCharType="end"/>
      </w:r>
      <w:r>
        <w:rPr>
          <w:rStyle w:val="CharStyle3"/>
          <w:sz w:val="30"/>
          <w:szCs w:val="30"/>
        </w:rPr>
        <w:t xml:space="preserve">№ </w:t>
      </w:r>
      <w:r>
        <w:rPr>
          <w:rStyle w:val="CharStyle3"/>
          <w:sz w:val="30"/>
          <w:szCs w:val="30"/>
          <w:u w:val="single"/>
        </w:rPr>
        <w:t>ЕФ/</w:t>
      </w:r>
      <w:r>
        <w:rPr>
          <w:rStyle w:val="CharStyle3"/>
          <w:sz w:val="30"/>
          <w:szCs w:val="30"/>
        </w:rPr>
        <w:t>1</w:t>
      </w:r>
      <w:r>
        <w:rPr>
          <w:rStyle w:val="CharStyle3"/>
          <w:sz w:val="30"/>
          <w:szCs w:val="30"/>
          <w:u w:val="single"/>
        </w:rPr>
        <w:t>516/2</w:t>
      </w:r>
      <w:r>
        <w:rPr>
          <w:rStyle w:val="CharStyle3"/>
          <w:sz w:val="30"/>
          <w:szCs w:val="30"/>
        </w:rPr>
        <w:t>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  <w:rPr>
          <w:sz w:val="18"/>
          <w:szCs w:val="18"/>
        </w:rPr>
      </w:pPr>
      <w:r>
        <w:rPr>
          <w:rStyle w:val="CharStyle3"/>
          <w:color w:val="476197"/>
          <w:sz w:val="18"/>
          <w:szCs w:val="18"/>
        </w:rPr>
        <w:t xml:space="preserve">На №  от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Заказчик: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5"/>
        </w:rPr>
        <w:t>ГБУЗ «Камчатская краевая стоматологическая поликлиника»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Заявитель: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62" w:right="1722" w:bottom="1221" w:left="1135" w:header="0" w:footer="3" w:gutter="0"/>
          <w:pgNumType w:start="1"/>
          <w:cols w:num="2" w:space="720" w:equalWidth="0">
            <w:col w:w="4219" w:space="1051"/>
            <w:col w:w="3773"/>
          </w:cols>
          <w:noEndnote/>
          <w:titlePg/>
          <w:rtlGutter w:val="0"/>
          <w:docGrid w:linePitch="360"/>
        </w:sectPr>
      </w:pPr>
      <w:r>
        <w:rPr>
          <w:rStyle w:val="CharStyle15"/>
        </w:rPr>
        <w:t>ИП Дубовиццкая Е.В.</w:t>
      </w:r>
    </w:p>
    <w:p>
      <w:pPr>
        <w:widowControl w:val="0"/>
        <w:spacing w:before="97" w:after="9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21" w:right="0" w:bottom="120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880" w:line="240" w:lineRule="auto"/>
        <w:ind w:left="0" w:right="0" w:firstLine="0"/>
        <w:jc w:val="both"/>
        <w:rPr>
          <w:sz w:val="24"/>
          <w:szCs w:val="24"/>
        </w:rPr>
      </w:pPr>
      <w:r>
        <w:rPr>
          <w:rStyle w:val="CharStyle15"/>
          <w:sz w:val="24"/>
          <w:szCs w:val="24"/>
        </w:rPr>
        <w:t>О результатах рассмотрения жалобы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5"/>
        </w:rPr>
        <w:t>РЕШЕНИЕ</w:t>
        <w:br/>
        <w:t>по делу № 041/06/105-338/2026</w:t>
        <w:br/>
        <w:t>о нарушении законодательства Российской Федерации о контрактной системе в сфере</w:t>
        <w:br/>
        <w:t>закупок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12700</wp:posOffset>
                </wp:positionV>
                <wp:extent cx="975360" cy="23495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7536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18 мая 2026 г.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6.75pt;margin-top:1.pt;width:76.799999999999997pt;height:18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18 мая 2026 г.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5"/>
        </w:rPr>
        <w:t>г. Петропавловск-Камчатский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880"/>
        <w:jc w:val="both"/>
      </w:pPr>
      <w:r>
        <w:rPr>
          <w:rStyle w:val="CharStyle15"/>
        </w:rPr>
        <w:t>Комиссия Управления Федеральной антимонопольной службы по Камчатскому краю (далее – Камчатское УФАС России) по контролю в сфере закупок и рассмотрению жалоб в порядке, предусмотренном статьей 18.1 Федерального закона от 26.07.2006 № 135- ФЗ «О защите конкуренции» (далее – Комиссия) в составе: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both"/>
      </w:pPr>
      <w:r>
        <w:rPr>
          <w:rStyle w:val="CharStyle15"/>
        </w:rPr>
        <w:t>председателя Комиссии – руководителя управления Фисенко Е.В.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both"/>
      </w:pPr>
      <w:r>
        <w:rPr>
          <w:rStyle w:val="CharStyle15"/>
        </w:rPr>
        <w:t>членов Комиссии: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72" w:val="left"/>
        </w:tabs>
        <w:bidi w:val="0"/>
        <w:spacing w:before="0" w:after="0" w:line="228" w:lineRule="auto"/>
        <w:ind w:left="0" w:right="0" w:firstLine="0"/>
        <w:jc w:val="both"/>
      </w:pPr>
      <w:r>
        <w:rPr>
          <w:rStyle w:val="CharStyle15"/>
        </w:rPr>
        <w:t>начальника отдела контроля закупок Шихановой Л.Б.,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72" w:val="left"/>
        </w:tabs>
        <w:bidi w:val="0"/>
        <w:spacing w:before="0" w:after="0" w:line="228" w:lineRule="auto"/>
        <w:ind w:left="0" w:right="0" w:firstLine="0"/>
        <w:jc w:val="both"/>
      </w:pPr>
      <w:r>
        <w:rPr>
          <w:rStyle w:val="CharStyle15"/>
        </w:rPr>
        <w:t>ведущего специалиста эксперта отдела контроля закупок Теплова А.О.,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both"/>
      </w:pPr>
      <w:r>
        <w:rPr>
          <w:rStyle w:val="CharStyle15"/>
        </w:rPr>
        <w:t>в присутствии представителей заказчика - государственного бюджетного учреждения здравоохранения «Камчатская краевая стоматологическая поликлиника» (далее - Заказчик): Первых Л.С. (по доверенности № 1 от 15.05.2026), Карпова А.С. (по доверенности № 1 от 15.05.2026), Кулишенко О.В. (на основании устава),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both"/>
      </w:pPr>
      <w:r>
        <w:rPr>
          <w:rStyle w:val="CharStyle15"/>
        </w:rPr>
        <w:t>в отсутствие заявителя - индивидуального предпринимателя Дубовицкой Е.В. (далее – Заявитель), уведомленного о месте, дате и времени рассмотрения жалобы через единую информационную систему (далее – ЕИС),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20" w:line="228" w:lineRule="auto"/>
        <w:ind w:left="0" w:right="0" w:firstLine="0"/>
        <w:jc w:val="both"/>
      </w:pPr>
      <w:r>
        <w:rPr>
          <w:rStyle w:val="CharStyle15"/>
        </w:rPr>
        <w:t>рассмотрев посредством видеоконференцсвязи жалобу Заявителя на Заказчика при определении поставщика на поставку компьютера терминального по результатам закупки, осуществляемой в соответствии с частью 12 статьи 93 Закона о контрактной системе (закупка № 0338200008326000018),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  <w:rPr>
          <w:sz w:val="32"/>
          <w:szCs w:val="32"/>
        </w:rPr>
      </w:pPr>
      <w:r>
        <w:rPr>
          <w:rStyle w:val="CharStyle3"/>
          <w:rFonts w:ascii="Arial" w:eastAsia="Arial" w:hAnsi="Arial" w:cs="Arial"/>
          <w:sz w:val="32"/>
          <w:szCs w:val="32"/>
          <w:lang w:val="en-US" w:eastAsia="en-US"/>
        </w:rPr>
        <w:t>1IIIIIIIIIIIIIIII Illi III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Style w:val="CharStyle15"/>
        </w:rPr>
        <w:t xml:space="preserve">государственных и муниципальных нужд»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Закон о контрактной системе),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5"/>
        </w:rPr>
        <w:t>УСТАНОВИЛА: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Заказчиком осуществлена в соответствии с частью </w:t>
      </w:r>
      <w:r>
        <w:rPr>
          <w:rStyle w:val="CharStyle15"/>
          <w:lang w:val="en-US" w:eastAsia="en-US"/>
        </w:rPr>
        <w:t xml:space="preserve">12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93 </w:t>
      </w:r>
      <w:r>
        <w:rPr>
          <w:rStyle w:val="CharStyle15"/>
        </w:rPr>
        <w:t xml:space="preserve">Закона о контрактной системе закупка компьютера терминального (далее также Товар) (закупка </w:t>
      </w:r>
      <w:r>
        <w:rPr>
          <w:rStyle w:val="CharStyle15"/>
          <w:lang w:val="en-US" w:eastAsia="en-US"/>
        </w:rPr>
        <w:t xml:space="preserve">№ 0338200008326000018) </w:t>
      </w:r>
      <w:r>
        <w:rPr>
          <w:rStyle w:val="CharStyle15"/>
        </w:rPr>
        <w:t xml:space="preserve">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Закупка).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Извещение о Закупке с приложением проекта контракта, обоснования начальной (максимальной) цены контракта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НМЦК) плана-графика размещения заказов на поставки товаров, выполнении работ, оказания услуг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Обоснование) размещено в ЕИС </w:t>
      </w:r>
      <w:r>
        <w:rPr>
          <w:rStyle w:val="CharStyle15"/>
          <w:lang w:val="en-US" w:eastAsia="en-US"/>
        </w:rPr>
        <w:t xml:space="preserve">07.05.2026. </w:t>
      </w:r>
      <w:r>
        <w:rPr>
          <w:rStyle w:val="CharStyle15"/>
        </w:rPr>
        <w:t xml:space="preserve">НМЦК установлена в размере </w:t>
      </w:r>
      <w:r>
        <w:rPr>
          <w:rStyle w:val="CharStyle15"/>
          <w:lang w:val="en-US" w:eastAsia="en-US"/>
        </w:rPr>
        <w:t xml:space="preserve">1 349 149,95 </w:t>
      </w:r>
      <w:r>
        <w:rPr>
          <w:rStyle w:val="CharStyle15"/>
        </w:rPr>
        <w:t>рублей.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  <w:rPr>
          <w:sz w:val="24"/>
          <w:szCs w:val="24"/>
        </w:rPr>
      </w:pPr>
      <w:r>
        <w:rPr>
          <w:rStyle w:val="CharStyle15"/>
          <w:sz w:val="24"/>
          <w:szCs w:val="24"/>
        </w:rPr>
        <w:t xml:space="preserve">Согласно Протоколу подведения итогов определения поставщика по закупке </w:t>
      </w:r>
      <w:r>
        <w:rPr>
          <w:rStyle w:val="CharStyle15"/>
          <w:sz w:val="24"/>
          <w:szCs w:val="24"/>
          <w:lang w:val="en-US" w:eastAsia="en-US"/>
        </w:rPr>
        <w:t xml:space="preserve">0338200008326000018 </w:t>
      </w:r>
      <w:r>
        <w:rPr>
          <w:rStyle w:val="CharStyle15"/>
          <w:sz w:val="24"/>
          <w:szCs w:val="24"/>
        </w:rPr>
        <w:t xml:space="preserve">от </w:t>
      </w:r>
      <w:r>
        <w:rPr>
          <w:rStyle w:val="CharStyle15"/>
          <w:sz w:val="24"/>
          <w:szCs w:val="24"/>
          <w:lang w:val="en-US" w:eastAsia="en-US"/>
        </w:rPr>
        <w:t xml:space="preserve">08.05.2026 </w:t>
      </w:r>
      <w:r>
        <w:rPr>
          <w:rStyle w:val="CharStyle15"/>
          <w:sz w:val="24"/>
          <w:szCs w:val="24"/>
        </w:rPr>
        <w:t xml:space="preserve">(далее </w:t>
      </w:r>
      <w:r>
        <w:rPr>
          <w:rStyle w:val="CharStyle15"/>
          <w:sz w:val="24"/>
          <w:szCs w:val="24"/>
          <w:lang w:val="en-US" w:eastAsia="en-US"/>
        </w:rPr>
        <w:t xml:space="preserve">— </w:t>
      </w:r>
      <w:r>
        <w:rPr>
          <w:rStyle w:val="CharStyle15"/>
          <w:sz w:val="24"/>
          <w:szCs w:val="24"/>
        </w:rPr>
        <w:t xml:space="preserve">Протокол подведения итогов) заявка </w:t>
      </w:r>
      <w:r>
        <w:rPr>
          <w:rStyle w:val="CharStyle15"/>
          <w:sz w:val="24"/>
          <w:szCs w:val="24"/>
          <w:lang w:val="en-US" w:eastAsia="en-US"/>
        </w:rPr>
        <w:t xml:space="preserve">№ 121190244 </w:t>
      </w:r>
      <w:r>
        <w:rPr>
          <w:rStyle w:val="CharStyle15"/>
          <w:sz w:val="24"/>
          <w:szCs w:val="24"/>
        </w:rPr>
        <w:t xml:space="preserve">отклонена по причине выявление недостоверной информации, содержащейся в заявке на участие в закупке (Отклонение по п. </w:t>
      </w:r>
      <w:r>
        <w:rPr>
          <w:rStyle w:val="CharStyle15"/>
          <w:sz w:val="24"/>
          <w:szCs w:val="24"/>
          <w:lang w:val="en-US" w:eastAsia="en-US"/>
        </w:rPr>
        <w:t xml:space="preserve">8 </w:t>
      </w:r>
      <w:r>
        <w:rPr>
          <w:rStyle w:val="CharStyle15"/>
          <w:sz w:val="24"/>
          <w:szCs w:val="24"/>
        </w:rPr>
        <w:t xml:space="preserve">ч. </w:t>
      </w:r>
      <w:r>
        <w:rPr>
          <w:rStyle w:val="CharStyle15"/>
          <w:sz w:val="24"/>
          <w:szCs w:val="24"/>
          <w:lang w:val="en-US" w:eastAsia="en-US"/>
        </w:rPr>
        <w:t xml:space="preserve">12 </w:t>
      </w:r>
      <w:r>
        <w:rPr>
          <w:rStyle w:val="CharStyle15"/>
          <w:sz w:val="24"/>
          <w:szCs w:val="24"/>
        </w:rPr>
        <w:t xml:space="preserve">ст. </w:t>
      </w:r>
      <w:r>
        <w:rPr>
          <w:rStyle w:val="CharStyle15"/>
          <w:sz w:val="24"/>
          <w:szCs w:val="24"/>
          <w:lang w:val="en-US" w:eastAsia="en-US"/>
        </w:rPr>
        <w:t xml:space="preserve">48 </w:t>
      </w:r>
      <w:r>
        <w:rPr>
          <w:rStyle w:val="CharStyle15"/>
          <w:sz w:val="24"/>
          <w:szCs w:val="24"/>
        </w:rPr>
        <w:t xml:space="preserve">Закона </w:t>
      </w:r>
      <w:r>
        <w:rPr>
          <w:rStyle w:val="CharStyle15"/>
          <w:sz w:val="24"/>
          <w:szCs w:val="24"/>
          <w:lang w:val="en-US" w:eastAsia="en-US"/>
        </w:rPr>
        <w:t xml:space="preserve">№ </w:t>
      </w:r>
      <w:r>
        <w:rPr>
          <w:rStyle w:val="CharStyle15"/>
          <w:sz w:val="24"/>
          <w:szCs w:val="24"/>
        </w:rPr>
        <w:t xml:space="preserve">44-ФЗ) у данного производителя нет в производстве с количеством разъемов </w:t>
      </w:r>
      <w:r>
        <w:rPr>
          <w:rStyle w:val="CharStyle15"/>
          <w:sz w:val="24"/>
          <w:szCs w:val="24"/>
          <w:lang w:val="en-US" w:eastAsia="en-US"/>
        </w:rPr>
        <w:t xml:space="preserve">USB 2.0: ≥3.0000 </w:t>
      </w:r>
      <w:r>
        <w:rPr>
          <w:rStyle w:val="CharStyle15"/>
          <w:sz w:val="24"/>
          <w:szCs w:val="24"/>
        </w:rPr>
        <w:t>Штука. в данной комплектации.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5"/>
          <w:lang w:val="en-US" w:eastAsia="en-US"/>
        </w:rPr>
        <w:t xml:space="preserve">18.05.2026 </w:t>
      </w:r>
      <w:r>
        <w:rPr>
          <w:rStyle w:val="CharStyle15"/>
        </w:rPr>
        <w:t>в Камчатское УФАС России поступила через ЕИС жалоба Заявителя на действия Заказчика, который, по мнению Заявителя, неправомерно отклонил заявку сославшись на выявление недостоверной информации, содержащейся в заявке на участие в закупке.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5"/>
        </w:rPr>
        <w:t xml:space="preserve">В результате рассмотрения жалобы и осуществления в соответствии с пунктом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15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99 </w:t>
      </w:r>
      <w:r>
        <w:rPr>
          <w:rStyle w:val="CharStyle15"/>
        </w:rPr>
        <w:t>Закона о контрактной системе внеплановой проверки Комиссия установила следующее.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Согласно подпункту «в» пункту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93 </w:t>
      </w:r>
      <w:r>
        <w:rPr>
          <w:rStyle w:val="CharStyle15"/>
        </w:rPr>
        <w:t>Закона о контрактной системе, Заказчик формирует с использованием единой информационной системы, подписывает усиленной электронной подписью и размещает в единой информационной системе извещение об осуществлении закупки, содержащее: наименование товара и его характеристики с использованием каталога товаров, работ, услуг ь для обеспечения государственных и муниципальных нужд, начальную цену единицы товара с учетом стоимости доставки, налогов, сборов и иных обязательных платежей, количество закупаемого товара, единицу измерения товара по общероссийскому классификатору, используемому для количественной оценки технико экономических и социальных показателей, срок и место поставки товара по общероссийскому (общероссийским классификатору (классификаторам), используемому (используемым) для сопоставимости и автоматизированной обработки информации в разрезах административно</w:t>
        <w:softHyphen/>
        <w:t>территориального деления, систематизации и однозначной идентификации на всей территории Российской Федерации муниципальных образований и населенных пунктов, входящих в их состав. Предусмотренный настоящим подпунктом срок поставки товара исчисляется календарными днями и указывается в извещении об осуществлении закупки в календарных днях;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На основании пункту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93 </w:t>
      </w:r>
      <w:r>
        <w:rPr>
          <w:rStyle w:val="CharStyle15"/>
        </w:rPr>
        <w:t>Закона о контрактной системе заказчик формирует с использованием единой информационной системы, подписывает усиленной электронной подписью и размещает в единой информационной системе извещение об осуществлении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5"/>
        </w:rPr>
        <w:t xml:space="preserve">В силу подпункта «в» пункта.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части. </w:t>
      </w:r>
      <w:r>
        <w:rPr>
          <w:rStyle w:val="CharStyle15"/>
          <w:lang w:val="en-US" w:eastAsia="en-US"/>
        </w:rPr>
        <w:t xml:space="preserve">12 </w:t>
      </w:r>
      <w:r>
        <w:rPr>
          <w:rStyle w:val="CharStyle15"/>
        </w:rPr>
        <w:t xml:space="preserve">статьи. </w:t>
      </w:r>
      <w:r>
        <w:rPr>
          <w:rStyle w:val="CharStyle15"/>
          <w:lang w:val="en-US" w:eastAsia="en-US"/>
        </w:rPr>
        <w:t xml:space="preserve">93 </w:t>
      </w:r>
      <w:r>
        <w:rPr>
          <w:rStyle w:val="CharStyle15"/>
        </w:rPr>
        <w:t>Закона о контрактной системе в течение одного часа с момента размещения в единой информационной системе извещения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 xml:space="preserve">об осуществлении закупки оператор электронной площадки с учетом положений п. </w:t>
      </w:r>
      <w:r>
        <w:rPr>
          <w:rStyle w:val="CharStyle15"/>
          <w:lang w:val="en-US" w:eastAsia="en-US"/>
        </w:rPr>
        <w:t xml:space="preserve">8 </w:t>
      </w:r>
      <w:r>
        <w:rPr>
          <w:rStyle w:val="CharStyle15"/>
        </w:rPr>
        <w:t xml:space="preserve">ч.12 ст. </w:t>
      </w:r>
      <w:r>
        <w:rPr>
          <w:rStyle w:val="CharStyle15"/>
          <w:lang w:val="en-US" w:eastAsia="en-US"/>
        </w:rPr>
        <w:t xml:space="preserve">93 </w:t>
      </w:r>
      <w:r>
        <w:rPr>
          <w:rStyle w:val="CharStyle15"/>
        </w:rPr>
        <w:t xml:space="preserve">Закона о контрактной системе с использованием электронной площадки направляет заказчику заявки на участие в закупке (с указанием присвоенных в соответствии с пп. б" п.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ч. </w:t>
      </w:r>
      <w:r>
        <w:rPr>
          <w:rStyle w:val="CharStyle15"/>
          <w:lang w:val="en-US" w:eastAsia="en-US"/>
        </w:rPr>
        <w:t xml:space="preserve">12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93 </w:t>
      </w:r>
      <w:r>
        <w:rPr>
          <w:rStyle w:val="CharStyle15"/>
        </w:rPr>
        <w:t xml:space="preserve">Закона о контрактной системе порядковых номеров), предусмотренные пп."а" п.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ч. </w:t>
      </w:r>
      <w:r>
        <w:rPr>
          <w:rStyle w:val="CharStyle15"/>
          <w:lang w:val="en-US" w:eastAsia="en-US"/>
        </w:rPr>
        <w:t xml:space="preserve">12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93 </w:t>
      </w:r>
      <w:r>
        <w:rPr>
          <w:rStyle w:val="CharStyle15"/>
        </w:rPr>
        <w:t xml:space="preserve">Закона о контрактной системе и содержащие информацию и документы, предусмотренные пп."а" </w:t>
      </w:r>
      <w:r>
        <w:rPr>
          <w:rStyle w:val="CharStyle15"/>
          <w:lang w:val="en-US" w:eastAsia="en-US"/>
        </w:rPr>
        <w:t xml:space="preserve">- </w:t>
      </w:r>
      <w:r>
        <w:fldChar w:fldCharType="begin"/>
      </w:r>
      <w:r>
        <w:rPr/>
        <w:instrText> HYPERLINK "https://login.consultant.ru/link/?req=doc&amp;base=LAW&amp;n=494990&amp;dst=12422" </w:instrText>
      </w:r>
      <w:r>
        <w:fldChar w:fldCharType="separate"/>
      </w:r>
      <w:r>
        <w:rPr>
          <w:rStyle w:val="CharStyle15"/>
          <w:color w:val="000080"/>
          <w:u w:val="single"/>
        </w:rPr>
        <w:t>"е"</w:t>
      </w:r>
      <w:r>
        <w:fldChar w:fldCharType="end"/>
      </w:r>
      <w:r>
        <w:rPr>
          <w:rStyle w:val="CharStyle15"/>
          <w:color w:val="000080"/>
        </w:rPr>
        <w:t xml:space="preserve"> </w:t>
      </w:r>
      <w:r>
        <w:rPr>
          <w:rStyle w:val="CharStyle15"/>
        </w:rPr>
        <w:t xml:space="preserve">и "к" п.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ч.12 ст. </w:t>
      </w:r>
      <w:r>
        <w:rPr>
          <w:rStyle w:val="CharStyle15"/>
          <w:lang w:val="en-US" w:eastAsia="en-US"/>
        </w:rPr>
        <w:t xml:space="preserve">93 </w:t>
      </w:r>
      <w:r>
        <w:rPr>
          <w:rStyle w:val="CharStyle15"/>
        </w:rPr>
        <w:t xml:space="preserve">Закона о контрактной системе, п.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ч. </w:t>
      </w:r>
      <w:r>
        <w:rPr>
          <w:rStyle w:val="CharStyle15"/>
          <w:lang w:val="en-US" w:eastAsia="en-US"/>
        </w:rPr>
        <w:t xml:space="preserve">6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43 </w:t>
      </w:r>
      <w:r>
        <w:rPr>
          <w:rStyle w:val="CharStyle15"/>
        </w:rPr>
        <w:t>Закона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На основании пункта </w:t>
      </w:r>
      <w:r>
        <w:rPr>
          <w:rStyle w:val="CharStyle15"/>
          <w:lang w:val="en-US" w:eastAsia="en-US"/>
        </w:rPr>
        <w:t xml:space="preserve">6 </w:t>
      </w:r>
      <w:r>
        <w:rPr>
          <w:rStyle w:val="CharStyle15"/>
        </w:rPr>
        <w:t xml:space="preserve">части. </w:t>
      </w:r>
      <w:r>
        <w:rPr>
          <w:rStyle w:val="CharStyle15"/>
          <w:lang w:val="en-US" w:eastAsia="en-US"/>
        </w:rPr>
        <w:t xml:space="preserve">12 </w:t>
      </w:r>
      <w:r>
        <w:rPr>
          <w:rStyle w:val="CharStyle15"/>
        </w:rPr>
        <w:t xml:space="preserve">статьи. </w:t>
      </w:r>
      <w:r>
        <w:rPr>
          <w:rStyle w:val="CharStyle15"/>
          <w:lang w:val="en-US" w:eastAsia="en-US"/>
        </w:rPr>
        <w:t xml:space="preserve">93 </w:t>
      </w:r>
      <w:r>
        <w:rPr>
          <w:rStyle w:val="CharStyle15"/>
        </w:rPr>
        <w:t xml:space="preserve">Закона о контрактной системе не позднее одного рабочего дня со дня, следующего за днем получения информации и документов, предусмотренных пп."в" п.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ч. </w:t>
      </w:r>
      <w:r>
        <w:rPr>
          <w:rStyle w:val="CharStyle15"/>
          <w:lang w:val="en-US" w:eastAsia="en-US"/>
        </w:rPr>
        <w:t xml:space="preserve">12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93 </w:t>
      </w:r>
      <w:r>
        <w:rPr>
          <w:rStyle w:val="CharStyle15"/>
        </w:rPr>
        <w:t>Закона о контрактной системе, заказчик: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принимает в отношении каждой заявки решение о соответствии заявки на участие в закупке требованиям, установленным в извещении об осуществлении закупки, или решение об отклонении заявки на участие в закупке в случае непредставления информации и документов, предусмотренных пп."в" п.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ч. </w:t>
      </w:r>
      <w:r>
        <w:rPr>
          <w:rStyle w:val="CharStyle15"/>
          <w:lang w:val="en-US" w:eastAsia="en-US"/>
        </w:rPr>
        <w:t xml:space="preserve">12 </w:t>
      </w:r>
      <w:r>
        <w:rPr>
          <w:rStyle w:val="CharStyle15"/>
        </w:rPr>
        <w:t xml:space="preserve">ст.93 Закона о контрактной системе, несоответствия таких информации и документов требованиям, установленным в извещении об осуществлении закупки, либо в случаях, предусмотренных пунктами </w:t>
      </w:r>
      <w:r>
        <w:rPr>
          <w:rStyle w:val="CharStyle15"/>
          <w:lang w:val="en-US" w:eastAsia="en-US"/>
        </w:rPr>
        <w:t>3 -</w:t>
      </w:r>
      <w:r>
        <w:fldChar w:fldCharType="begin"/>
      </w:r>
      <w:r>
        <w:rPr/>
        <w:instrText> HYPERLINK "https://login.consultant.ru/link/?req=doc&amp;base=LAW&amp;n=494990&amp;dst=2525" </w:instrText>
      </w:r>
      <w:r>
        <w:fldChar w:fldCharType="separate"/>
      </w:r>
      <w:r>
        <w:rPr>
          <w:rStyle w:val="CharStyle15"/>
          <w:lang w:val="en-US" w:eastAsia="en-US"/>
        </w:rPr>
        <w:t xml:space="preserve"> </w:t>
      </w:r>
      <w:r>
        <w:rPr>
          <w:rStyle w:val="CharStyle15"/>
          <w:color w:val="000080"/>
          <w:u w:val="single"/>
          <w:lang w:val="en-US" w:eastAsia="en-US"/>
        </w:rPr>
        <w:t>6</w:t>
      </w:r>
      <w:r>
        <w:fldChar w:fldCharType="end"/>
      </w:r>
      <w:r>
        <w:rPr>
          <w:rStyle w:val="CharStyle15"/>
          <w:lang w:val="en-US" w:eastAsia="en-US"/>
        </w:rPr>
        <w:t xml:space="preserve">, 8 </w:t>
      </w:r>
      <w:r>
        <w:rPr>
          <w:rStyle w:val="CharStyle15"/>
        </w:rPr>
        <w:t xml:space="preserve">ч. </w:t>
      </w:r>
      <w:r>
        <w:rPr>
          <w:rStyle w:val="CharStyle15"/>
          <w:lang w:val="en-US" w:eastAsia="en-US"/>
        </w:rPr>
        <w:t xml:space="preserve">12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48 </w:t>
      </w:r>
      <w:r>
        <w:rPr>
          <w:rStyle w:val="CharStyle15"/>
        </w:rPr>
        <w:t>Закона о контрактной системе;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на основании решений, предусмотренных пп."а" п. </w:t>
      </w:r>
      <w:r>
        <w:rPr>
          <w:rStyle w:val="CharStyle15"/>
          <w:lang w:val="en-US" w:eastAsia="en-US"/>
        </w:rPr>
        <w:t xml:space="preserve">6 </w:t>
      </w:r>
      <w:r>
        <w:rPr>
          <w:rStyle w:val="CharStyle15"/>
        </w:rPr>
        <w:t xml:space="preserve">ч. </w:t>
      </w:r>
      <w:r>
        <w:rPr>
          <w:rStyle w:val="CharStyle15"/>
          <w:lang w:val="en-US" w:eastAsia="en-US"/>
        </w:rPr>
        <w:t xml:space="preserve">12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93 </w:t>
      </w:r>
      <w:r>
        <w:rPr>
          <w:rStyle w:val="CharStyle15"/>
        </w:rPr>
        <w:t xml:space="preserve">Закона о контрактной системе, присваивает каждой заявке на участие в закупке, которая не отклонена, порядковый номер в порядке возрастания цены за единицу товара, предусмотренной пп."е" п.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ч. </w:t>
      </w:r>
      <w:r>
        <w:rPr>
          <w:rStyle w:val="CharStyle15"/>
          <w:lang w:val="en-US" w:eastAsia="en-US"/>
        </w:rPr>
        <w:t xml:space="preserve">12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93 </w:t>
      </w:r>
      <w:r>
        <w:rPr>
          <w:rStyle w:val="CharStyle15"/>
        </w:rPr>
        <w:t xml:space="preserve">Закона о контрактной системе, с учетом положений нормативных правовых актов, принятых в соответствии со ст. </w:t>
      </w:r>
      <w:r>
        <w:rPr>
          <w:rStyle w:val="CharStyle15"/>
          <w:lang w:val="en-US" w:eastAsia="en-US"/>
        </w:rPr>
        <w:t xml:space="preserve">14 </w:t>
      </w:r>
      <w:r>
        <w:rPr>
          <w:rStyle w:val="CharStyle15"/>
        </w:rPr>
        <w:t xml:space="preserve">Закона о контрактной системе. Первый порядковый номер присваивается заявке на участие в закупке, содержащей наименьшую цену за единицу товара, или являющейся единственной заявкой, которая не отклонена в соответствии с пп."а" п.6 ч. </w:t>
      </w:r>
      <w:r>
        <w:rPr>
          <w:rStyle w:val="CharStyle15"/>
          <w:lang w:val="en-US" w:eastAsia="en-US"/>
        </w:rPr>
        <w:t xml:space="preserve">12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93 </w:t>
      </w:r>
      <w:r>
        <w:rPr>
          <w:rStyle w:val="CharStyle15"/>
        </w:rPr>
        <w:t>Закона о контрактной системе;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6" w:val="left"/>
        </w:tabs>
        <w:bidi w:val="0"/>
        <w:spacing w:before="0" w:after="260" w:line="240" w:lineRule="auto"/>
        <w:ind w:left="0" w:right="0" w:firstLine="720"/>
        <w:jc w:val="both"/>
      </w:pPr>
      <w:r>
        <w:rPr>
          <w:rStyle w:val="CharStyle15"/>
        </w:rPr>
        <w:t xml:space="preserve">формирует с использованием электронной площадки протокол подведения итогов определения поставщика, подписывает его усиленной электронной подписью лица, имеющего право действовать от имени заказчика, и направляет оператору электронной площадки, который в течение одного часа с момента получения такого протокола размещает его в единой информационной системе и на электронной площадке, а также размещает в единой информационной системе (без размещения на официальном сайте информацию, указанную в пп."а" и "е" п.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ч.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ст.43 Закона о контрактной системе, идентификационные номера заявок и номера реестровых записей участников закупки, заявки которых направлены заказчику в соответствии с пп."в" п.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ч. </w:t>
      </w:r>
      <w:r>
        <w:rPr>
          <w:rStyle w:val="CharStyle15"/>
          <w:lang w:val="en-US" w:eastAsia="en-US"/>
        </w:rPr>
        <w:t xml:space="preserve">12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93 </w:t>
      </w:r>
      <w:r>
        <w:rPr>
          <w:rStyle w:val="CharStyle15"/>
        </w:rPr>
        <w:t xml:space="preserve">Закона о контрактной системе. Такой протокол должен содержать дату подведения итогов, идентификационные номера заявок и информацию о решениях, предусмотренных пп."а" п. </w:t>
      </w:r>
      <w:r>
        <w:rPr>
          <w:rStyle w:val="CharStyle15"/>
          <w:lang w:val="en-US" w:eastAsia="en-US"/>
        </w:rPr>
        <w:t xml:space="preserve">6 </w:t>
      </w:r>
      <w:r>
        <w:rPr>
          <w:rStyle w:val="CharStyle15"/>
        </w:rPr>
        <w:t xml:space="preserve">ч. </w:t>
      </w:r>
      <w:r>
        <w:rPr>
          <w:rStyle w:val="CharStyle15"/>
          <w:lang w:val="en-US" w:eastAsia="en-US"/>
        </w:rPr>
        <w:t xml:space="preserve">12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93 </w:t>
      </w:r>
      <w:r>
        <w:rPr>
          <w:rStyle w:val="CharStyle15"/>
        </w:rPr>
        <w:t xml:space="preserve">Закона о контрактной системе, обоснование решения об отклонении заявки на участие в закупке (в случае принятия такого решения), содержащее указание на положения заявки на участие в закупке, а также положения Закона о контрактной системе, извещения об осуществлении закупки, которым не соответствует такая заявка, а также информацию, предусмотренную пп."б" п. </w:t>
      </w:r>
      <w:r>
        <w:rPr>
          <w:rStyle w:val="CharStyle15"/>
          <w:lang w:val="en-US" w:eastAsia="en-US"/>
        </w:rPr>
        <w:t xml:space="preserve">6 </w:t>
      </w:r>
      <w:r>
        <w:rPr>
          <w:rStyle w:val="CharStyle15"/>
        </w:rPr>
        <w:t xml:space="preserve">ч. </w:t>
      </w:r>
      <w:r>
        <w:rPr>
          <w:rStyle w:val="CharStyle15"/>
          <w:lang w:val="en-US" w:eastAsia="en-US"/>
        </w:rPr>
        <w:t xml:space="preserve">12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93 </w:t>
      </w:r>
      <w:r>
        <w:rPr>
          <w:rStyle w:val="CharStyle15"/>
        </w:rPr>
        <w:t>Закона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Согласно письменным пояснениям Заказчика от </w:t>
      </w:r>
      <w:r>
        <w:rPr>
          <w:rStyle w:val="CharStyle15"/>
          <w:lang w:val="en-US" w:eastAsia="en-US"/>
        </w:rPr>
        <w:t>15.05.2026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«Изучив Реестры промышленной продукции найден товар с характеристиками товара Российского происхождения, подходящего по потребности Заказчика, компьютер терминальный (тонкий клиент) выбраны характеристики из КТРУ: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Количество разъемов </w:t>
      </w:r>
      <w:r>
        <w:rPr>
          <w:rStyle w:val="CharStyle15"/>
          <w:lang w:val="en-US" w:eastAsia="en-US"/>
        </w:rPr>
        <w:t xml:space="preserve">USB 2.0 ≥ 3 </w:t>
      </w:r>
      <w:r>
        <w:rPr>
          <w:rStyle w:val="CharStyle15"/>
        </w:rPr>
        <w:t>шт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Количество разъемов </w:t>
      </w:r>
      <w:r>
        <w:rPr>
          <w:rStyle w:val="CharStyle15"/>
          <w:lang w:val="en-US" w:eastAsia="en-US"/>
        </w:rPr>
        <w:t xml:space="preserve">USB 3.0 ≥ 2 </w:t>
      </w:r>
      <w:r>
        <w:rPr>
          <w:rStyle w:val="CharStyle15"/>
        </w:rPr>
        <w:t>шт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Версии разъемов </w:t>
      </w:r>
      <w:r>
        <w:rPr>
          <w:rStyle w:val="CharStyle15"/>
          <w:lang w:val="en-US" w:eastAsia="en-US"/>
        </w:rPr>
        <w:t xml:space="preserve">USB </w:t>
      </w:r>
      <w:r>
        <w:rPr>
          <w:rStyle w:val="CharStyle15"/>
        </w:rPr>
        <w:t>необходимы для: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  <w:lang w:val="en-US" w:eastAsia="en-US"/>
        </w:rPr>
        <w:t xml:space="preserve">USB 2.0 type-A — </w:t>
      </w:r>
      <w:r>
        <w:rPr>
          <w:rStyle w:val="CharStyle15"/>
        </w:rPr>
        <w:t>необходим для подключения клавиатуры, флешки с эл. Подписью (токен), мыши)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13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  <w:lang w:val="en-US" w:eastAsia="en-US"/>
        </w:rPr>
        <w:t xml:space="preserve">USB 3.0 type-B — </w:t>
      </w:r>
      <w:r>
        <w:rPr>
          <w:rStyle w:val="CharStyle15"/>
        </w:rPr>
        <w:t>офисная техника (принтер, сканер)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На закупку тонких клиентов установлено требование наличия не менее трех портов </w:t>
      </w:r>
      <w:r>
        <w:rPr>
          <w:rStyle w:val="CharStyle15"/>
          <w:lang w:val="en-US" w:eastAsia="en-US"/>
        </w:rPr>
        <w:t xml:space="preserve">USB 2.0. </w:t>
      </w:r>
      <w:r>
        <w:rPr>
          <w:rStyle w:val="CharStyle15"/>
        </w:rPr>
        <w:t xml:space="preserve">Данное требование является технологически обоснованным и необходимым для обеспечения совместимости с существующей инфраструктурой организации. Совместимость с существующей периферией. В организации используется периферийное оборудование (клавиатуры, мыши, смарт-карты, токены и другие устройства), которое функционирует исключительно через интерфейс </w:t>
      </w:r>
      <w:r>
        <w:rPr>
          <w:rStyle w:val="CharStyle15"/>
          <w:lang w:val="en-US" w:eastAsia="en-US"/>
        </w:rPr>
        <w:t xml:space="preserve">USB 2.0. </w:t>
      </w:r>
      <w:r>
        <w:rPr>
          <w:rStyle w:val="CharStyle15"/>
        </w:rPr>
        <w:t xml:space="preserve">Использование тонких Клиентов с меньшим количеством </w:t>
      </w:r>
      <w:r>
        <w:rPr>
          <w:rStyle w:val="CharStyle15"/>
          <w:lang w:val="en-US" w:eastAsia="en-US"/>
        </w:rPr>
        <w:t xml:space="preserve">USB </w:t>
      </w:r>
      <w:r>
        <w:rPr>
          <w:rStyle w:val="CharStyle15"/>
        </w:rPr>
        <w:t xml:space="preserve">2.0-портов или только </w:t>
      </w:r>
      <w:r>
        <w:rPr>
          <w:rStyle w:val="CharStyle15"/>
          <w:lang w:val="en-US" w:eastAsia="en-US"/>
        </w:rPr>
        <w:t xml:space="preserve">USB 3.0 </w:t>
      </w:r>
      <w:r>
        <w:rPr>
          <w:rStyle w:val="CharStyle15"/>
        </w:rPr>
        <w:t>приведёт к невозможности подключения необходимого оборудования, нарушению рабочих процессов и дополнительным расходам на замену периферии.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Для корректной работы ряда программных решений и специализированного оборудования (например, систем идентификации, лицензирующих ключей) необходимо наличие </w:t>
      </w:r>
      <w:r>
        <w:rPr>
          <w:rStyle w:val="CharStyle15"/>
          <w:lang w:val="en-US" w:eastAsia="en-US"/>
        </w:rPr>
        <w:t xml:space="preserve">USB 2.0. </w:t>
      </w:r>
      <w:r>
        <w:rPr>
          <w:rStyle w:val="CharStyle15"/>
        </w:rPr>
        <w:t xml:space="preserve">Требование наличия </w:t>
      </w:r>
      <w:r>
        <w:rPr>
          <w:rStyle w:val="CharStyle15"/>
          <w:lang w:val="en-US" w:eastAsia="en-US"/>
        </w:rPr>
        <w:t xml:space="preserve">≥ </w:t>
      </w:r>
      <w:r>
        <w:rPr>
          <w:rStyle w:val="CharStyle15"/>
        </w:rPr>
        <w:t xml:space="preserve">З портов </w:t>
      </w:r>
      <w:r>
        <w:rPr>
          <w:rStyle w:val="CharStyle15"/>
          <w:lang w:val="en-US" w:eastAsia="en-US"/>
        </w:rPr>
        <w:t xml:space="preserve">USB 2.0 </w:t>
      </w:r>
      <w:r>
        <w:rPr>
          <w:rStyle w:val="CharStyle15"/>
        </w:rPr>
        <w:t>является обоснованным, необходимым и соответствует принципам обеспечения совместимости, стабильности и унификации корпоративной ИТ-инфраструктуры. Отступление от этого требования приведет к нарушению рабочих процессов и дополнительным затратам.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Участник ИП Дубцова Е.В. </w:t>
      </w:r>
      <w:r>
        <w:rPr>
          <w:rStyle w:val="CharStyle15"/>
          <w:lang w:val="en-US" w:eastAsia="en-US"/>
        </w:rPr>
        <w:t xml:space="preserve">№ 121190244 </w:t>
      </w:r>
      <w:r>
        <w:rPr>
          <w:rStyle w:val="CharStyle15"/>
        </w:rPr>
        <w:t xml:space="preserve">был отклонён по п. </w:t>
      </w:r>
      <w:r>
        <w:rPr>
          <w:rStyle w:val="CharStyle15"/>
          <w:lang w:val="en-US" w:eastAsia="en-US"/>
        </w:rPr>
        <w:t xml:space="preserve">8 </w:t>
      </w:r>
      <w:r>
        <w:rPr>
          <w:rStyle w:val="CharStyle15"/>
        </w:rPr>
        <w:t xml:space="preserve">ч. </w:t>
      </w:r>
      <w:r>
        <w:rPr>
          <w:rStyle w:val="CharStyle15"/>
          <w:lang w:val="en-US" w:eastAsia="en-US"/>
        </w:rPr>
        <w:t xml:space="preserve">12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48 </w:t>
      </w:r>
      <w:r>
        <w:rPr>
          <w:rStyle w:val="CharStyle15"/>
        </w:rPr>
        <w:t xml:space="preserve">Закона </w:t>
      </w:r>
      <w:r>
        <w:rPr>
          <w:rStyle w:val="CharStyle15"/>
          <w:lang w:val="en-US" w:eastAsia="en-US"/>
        </w:rPr>
        <w:t xml:space="preserve">.№ </w:t>
      </w:r>
      <w:r>
        <w:rPr>
          <w:rStyle w:val="CharStyle15"/>
        </w:rPr>
        <w:t>44-ФЗ.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данного производителя нет в производстве с Количеством разъемов </w:t>
      </w:r>
      <w:r>
        <w:rPr>
          <w:rStyle w:val="CharStyle15"/>
          <w:lang w:val="en-US" w:eastAsia="en-US"/>
        </w:rPr>
        <w:t xml:space="preserve">USB 2.0: ≥ 3 </w:t>
      </w:r>
      <w:r>
        <w:rPr>
          <w:rStyle w:val="CharStyle15"/>
        </w:rPr>
        <w:t>Штука. В данной комплектации.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Изучив комплектации Тонких клиентов ММ, Китайская Народная Республика, отсутствует Тонкие клиенты </w:t>
      </w:r>
      <w:r>
        <w:rPr>
          <w:rStyle w:val="CharStyle15"/>
          <w:lang w:val="en-US" w:eastAsia="en-US"/>
        </w:rPr>
        <w:t xml:space="preserve">MSI </w:t>
      </w:r>
      <w:r>
        <w:rPr>
          <w:rStyle w:val="CharStyle15"/>
        </w:rPr>
        <w:t xml:space="preserve">с Количеством разъемов </w:t>
      </w:r>
      <w:r>
        <w:rPr>
          <w:rStyle w:val="CharStyle15"/>
          <w:lang w:val="en-US" w:eastAsia="en-US"/>
        </w:rPr>
        <w:t xml:space="preserve">USB 2.0: ≥3.0000 </w:t>
      </w:r>
      <w:r>
        <w:rPr>
          <w:rStyle w:val="CharStyle15"/>
        </w:rPr>
        <w:t xml:space="preserve">Штука, что является указание недостоверных сведений. (Приложение </w:t>
      </w:r>
      <w:r>
        <w:rPr>
          <w:rStyle w:val="CharStyle15"/>
          <w:lang w:val="en-US" w:eastAsia="en-US"/>
        </w:rPr>
        <w:t xml:space="preserve">№ 2 </w:t>
      </w:r>
      <w:r>
        <w:rPr>
          <w:rStyle w:val="CharStyle15"/>
        </w:rPr>
        <w:t>сканы).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Порт </w:t>
      </w:r>
      <w:r>
        <w:rPr>
          <w:rStyle w:val="CharStyle15"/>
          <w:lang w:val="en-US" w:eastAsia="en-US"/>
        </w:rPr>
        <w:t xml:space="preserve">USB 3.2 Gen 1 </w:t>
      </w:r>
      <w:r>
        <w:rPr>
          <w:rStyle w:val="CharStyle15"/>
        </w:rPr>
        <w:t xml:space="preserve">является по факту другим разъемом и обладает другими функциями. И при предоставлении предложения поставщик указал недостоверные сведения указав разъем </w:t>
      </w:r>
      <w:r>
        <w:rPr>
          <w:rStyle w:val="CharStyle15"/>
          <w:lang w:val="en-US" w:eastAsia="en-US"/>
        </w:rPr>
        <w:t xml:space="preserve">USB 2.0: &gt;3 </w:t>
      </w:r>
      <w:r>
        <w:rPr>
          <w:rStyle w:val="CharStyle15"/>
        </w:rPr>
        <w:t>Штука.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Характеристики необходимого товара были прописаны согласно КТРУ </w:t>
      </w:r>
      <w:r>
        <w:rPr>
          <w:rStyle w:val="CharStyle15"/>
          <w:lang w:val="en-US" w:eastAsia="en-US"/>
        </w:rPr>
        <w:t>26.20.15.110</w:t>
        <w:softHyphen/>
        <w:t xml:space="preserve">00000001 </w:t>
      </w:r>
      <w:r>
        <w:rPr>
          <w:rStyle w:val="CharStyle15"/>
        </w:rPr>
        <w:t xml:space="preserve">и по потребности Заказчика. Разъем </w:t>
      </w:r>
      <w:r>
        <w:rPr>
          <w:rStyle w:val="CharStyle15"/>
          <w:lang w:val="en-US" w:eastAsia="en-US"/>
        </w:rPr>
        <w:t xml:space="preserve">USB 2.0 type-A </w:t>
      </w:r>
      <w:r>
        <w:rPr>
          <w:rStyle w:val="CharStyle15"/>
        </w:rPr>
        <w:t xml:space="preserve">необходим Заказчику только для подключения клавиатуры, флешки с эл. подписью (токен), мыши, </w:t>
      </w:r>
      <w:r>
        <w:rPr>
          <w:rStyle w:val="CharStyle15"/>
          <w:lang w:val="en-US" w:eastAsia="en-US"/>
        </w:rPr>
        <w:t xml:space="preserve">USB 3.0 type-B — </w:t>
      </w:r>
      <w:r>
        <w:rPr>
          <w:rStyle w:val="CharStyle15"/>
        </w:rPr>
        <w:t>офисная техника (принтер, сканер), что позволяет обеспечить информационную безопасность в медицинском учреждении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5"/>
        </w:rPr>
        <w:t xml:space="preserve">К указанным характеристикам подходят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производителя Тонкий клиент ТНС500 модель </w:t>
      </w:r>
      <w:r>
        <w:rPr>
          <w:rStyle w:val="CharStyle15"/>
          <w:lang w:val="en-US" w:eastAsia="en-US"/>
        </w:rPr>
        <w:t xml:space="preserve">TNC-500 SB2 </w:t>
      </w:r>
      <w:r>
        <w:rPr>
          <w:rStyle w:val="CharStyle15"/>
        </w:rPr>
        <w:t>Российская Федерация и Тонкий клиент ТОНК Российская Федерация.»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Комиссией установлено, что согласно Извещением об осуществлении закупки, Техническим заданиям по закупке </w:t>
      </w:r>
      <w:r>
        <w:rPr>
          <w:rStyle w:val="CharStyle15"/>
          <w:lang w:val="en-US" w:eastAsia="en-US"/>
        </w:rPr>
        <w:t xml:space="preserve">№ 0338200008326000018 </w:t>
      </w:r>
      <w:r>
        <w:rPr>
          <w:rStyle w:val="CharStyle15"/>
        </w:rPr>
        <w:t xml:space="preserve">Заказчиком установлена характеристика «Количество разъемов </w:t>
      </w:r>
      <w:r>
        <w:rPr>
          <w:rStyle w:val="CharStyle15"/>
          <w:lang w:val="en-US" w:eastAsia="en-US"/>
        </w:rPr>
        <w:t xml:space="preserve">USB 2.0» ≥ 3 </w:t>
      </w:r>
      <w:r>
        <w:rPr>
          <w:rStyle w:val="CharStyle15"/>
        </w:rPr>
        <w:t>штуки.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Предложение Заявителя не соответствуют требованиям извещения об осуществлении закупки, поскольку содержат условия, не отвечающие потребностям Заказчика, а именно «Количество разъемов </w:t>
      </w:r>
      <w:r>
        <w:rPr>
          <w:rStyle w:val="CharStyle15"/>
          <w:lang w:val="en-US" w:eastAsia="en-US"/>
        </w:rPr>
        <w:t xml:space="preserve">USB 2.0» MSI - 2 </w:t>
      </w:r>
      <w:r>
        <w:rPr>
          <w:rStyle w:val="CharStyle15"/>
        </w:rPr>
        <w:t xml:space="preserve">штуки в то время как в извещение об осуществлении закупки Заказчику требуется «Количество разъемов </w:t>
      </w:r>
      <w:r>
        <w:rPr>
          <w:rStyle w:val="CharStyle15"/>
          <w:lang w:val="en-US" w:eastAsia="en-US"/>
        </w:rPr>
        <w:t xml:space="preserve">USB 2.0» ≥ 3 </w:t>
      </w:r>
      <w:r>
        <w:rPr>
          <w:rStyle w:val="CharStyle15"/>
        </w:rPr>
        <w:t>штуки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Таким образом признание Заказчиком несоответствующей заявки Заявителя по основаниям, указанным в Протоколе подведения итогов не противоречит требованиям</w:t>
      </w:r>
      <w:r>
        <w:br w:type="page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left"/>
      </w:pPr>
      <w:r>
        <w:rPr>
          <w:rStyle w:val="CharStyle15"/>
        </w:rPr>
        <w:t xml:space="preserve">подпункта «в» пункта </w:t>
      </w:r>
      <w:r>
        <w:rPr>
          <w:rStyle w:val="CharStyle15"/>
          <w:lang w:val="en-US" w:eastAsia="en-US"/>
        </w:rPr>
        <w:t xml:space="preserve">6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93 </w:t>
      </w:r>
      <w:r>
        <w:rPr>
          <w:rStyle w:val="CharStyle15"/>
        </w:rPr>
        <w:t>Закона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left"/>
      </w:pPr>
      <w:r>
        <w:rPr>
          <w:rStyle w:val="CharStyle15"/>
        </w:rPr>
        <w:t xml:space="preserve">На основании изложенного и руководствуясь частью </w:t>
      </w:r>
      <w:r>
        <w:rPr>
          <w:rStyle w:val="CharStyle15"/>
          <w:lang w:val="en-US" w:eastAsia="en-US"/>
        </w:rPr>
        <w:t xml:space="preserve">8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106 </w:t>
      </w:r>
      <w:r>
        <w:rPr>
          <w:rStyle w:val="CharStyle15"/>
        </w:rPr>
        <w:t>Закона о контрактной системе Комиссия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5"/>
        </w:rPr>
        <w:t>РЕШИЛА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left"/>
      </w:pPr>
      <w:r>
        <w:rPr>
          <w:rStyle w:val="CharStyle15"/>
        </w:rPr>
        <w:t>Признать жалобу необоснованной.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rStyle w:val="CharStyle15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21" w:right="539" w:bottom="1200" w:left="109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76200" distL="0" distR="0" simplePos="0" relativeHeight="125829380" behindDoc="0" locked="0" layoutInCell="1" allowOverlap="1">
                <wp:simplePos x="0" y="0"/>
                <wp:positionH relativeFrom="page">
                  <wp:posOffset>739775</wp:posOffset>
                </wp:positionH>
                <wp:positionV relativeFrom="paragraph">
                  <wp:posOffset>330200</wp:posOffset>
                </wp:positionV>
                <wp:extent cx="1825625" cy="25273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5"/>
                                <w:sz w:val="28"/>
                                <w:szCs w:val="28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25pt;margin-top:26.pt;width:143.75pt;height:19.900000000000002pt;z-index:-125829373;mso-wrap-distance-left:0;mso-wrap-distance-top:26.pt;mso-wrap-distance-right:0;mso-wrap-distance-bottom:6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5"/>
                          <w:sz w:val="28"/>
                          <w:szCs w:val="28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63855" distB="0" distL="0" distR="1469390" simplePos="0" relativeHeight="125829382" behindDoc="0" locked="0" layoutInCell="1" allowOverlap="1">
            <wp:simplePos x="0" y="0"/>
            <wp:positionH relativeFrom="page">
              <wp:posOffset>2879725</wp:posOffset>
            </wp:positionH>
            <wp:positionV relativeFrom="paragraph">
              <wp:posOffset>363855</wp:posOffset>
            </wp:positionV>
            <wp:extent cx="262255" cy="29845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62255" cy="2984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3199765</wp:posOffset>
                </wp:positionH>
                <wp:positionV relativeFrom="paragraph">
                  <wp:posOffset>418465</wp:posOffset>
                </wp:positionV>
                <wp:extent cx="1408430" cy="21336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08430" cy="213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3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  <w:b/>
                                <w:bCs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51.95000000000002pt;margin-top:32.950000000000003pt;width:110.90000000000001pt;height:16.8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3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  <w:b/>
                          <w:bCs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76200" distL="0" distR="0" simplePos="0" relativeHeight="125829383" behindDoc="0" locked="0" layoutInCell="1" allowOverlap="1">
                <wp:simplePos x="0" y="0"/>
                <wp:positionH relativeFrom="page">
                  <wp:posOffset>6141085</wp:posOffset>
                </wp:positionH>
                <wp:positionV relativeFrom="paragraph">
                  <wp:posOffset>330200</wp:posOffset>
                </wp:positionV>
                <wp:extent cx="1045210" cy="25273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52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5"/>
                                <w:sz w:val="28"/>
                                <w:szCs w:val="28"/>
                              </w:rPr>
                              <w:t>Е.В. Фисенко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83.55000000000001pt;margin-top:26.pt;width:82.299999999999997pt;height:19.900000000000002pt;z-index:-125829370;mso-wrap-distance-left:0;mso-wrap-distance-top:26.pt;mso-wrap-distance-right:0;mso-wrap-distance-bottom:6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5"/>
                          <w:sz w:val="28"/>
                          <w:szCs w:val="28"/>
                        </w:rPr>
                        <w:t>Е.В. Фисенко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center"/>
        <w:rPr>
          <w:sz w:val="10"/>
          <w:szCs w:val="10"/>
        </w:rPr>
      </w:pPr>
      <w:r>
        <w:rPr>
          <w:rStyle w:val="CharStyle3"/>
          <w:rFonts w:ascii="Arial" w:eastAsia="Arial" w:hAnsi="Arial" w:cs="Arial"/>
          <w:color w:val="E3E3E3"/>
          <w:sz w:val="10"/>
          <w:szCs w:val="10"/>
        </w:rPr>
        <w:t>СВЕДЕНИЯ О СЕРТИФИКАТЕ ЭП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50" w:bottom="6411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16865" distB="1045210" distL="0" distR="0" simplePos="0" relativeHeight="125829385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316865</wp:posOffset>
                </wp:positionV>
                <wp:extent cx="1325880" cy="2501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588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5"/>
                                <w:sz w:val="28"/>
                                <w:szCs w:val="28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8.050000000000004pt;margin-top:24.949999999999999pt;width:104.40000000000001pt;height:19.699999999999999pt;z-index:-125829368;mso-wrap-distance-left:0;mso-wrap-distance-top:24.949999999999999pt;mso-wrap-distance-right:0;mso-wrap-distance-bottom:82.299999999999997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5"/>
                          <w:sz w:val="28"/>
                          <w:szCs w:val="28"/>
                        </w:rPr>
                        <w:t>Члены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94360" distB="502920" distL="274320" distR="280670" simplePos="0" relativeHeight="125829387" behindDoc="0" locked="0" layoutInCell="1" allowOverlap="1">
            <wp:simplePos x="0" y="0"/>
            <wp:positionH relativeFrom="page">
              <wp:posOffset>3141980</wp:posOffset>
            </wp:positionH>
            <wp:positionV relativeFrom="paragraph">
              <wp:posOffset>594360</wp:posOffset>
            </wp:positionV>
            <wp:extent cx="1237615" cy="518160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237615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2867660</wp:posOffset>
                </wp:positionH>
                <wp:positionV relativeFrom="paragraph">
                  <wp:posOffset>0</wp:posOffset>
                </wp:positionV>
                <wp:extent cx="1791970" cy="24701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9197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Style w:val="CharStyle18"/>
                                <w:rFonts w:ascii="Arial" w:eastAsia="Arial" w:hAnsi="Arial" w:cs="Arial"/>
                                <w:color w:val="595959"/>
                                <w:sz w:val="10"/>
                                <w:szCs w:val="10"/>
                              </w:rPr>
                              <w:t xml:space="preserve">Кому выдан: </w:t>
                            </w:r>
                            <w:r>
                              <w:rPr>
                                <w:rStyle w:val="CharStyle18"/>
                                <w:rFonts w:ascii="Arial" w:eastAsia="Arial" w:hAnsi="Arial" w:cs="Arial"/>
                                <w:color w:val="000000"/>
                                <w:sz w:val="10"/>
                                <w:szCs w:val="10"/>
                              </w:rPr>
                              <w:t>Фисенко Евгения Викторовна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Style w:val="CharStyle18"/>
                                <w:rFonts w:ascii="Arial" w:eastAsia="Arial" w:hAnsi="Arial" w:cs="Arial"/>
                                <w:color w:val="595959"/>
                                <w:sz w:val="10"/>
                                <w:szCs w:val="10"/>
                              </w:rPr>
                              <w:t xml:space="preserve">Сертификат </w:t>
                            </w:r>
                            <w:r>
                              <w:rPr>
                                <w:rStyle w:val="CharStyle18"/>
                                <w:rFonts w:ascii="Arial" w:eastAsia="Arial" w:hAnsi="Arial" w:cs="Arial"/>
                                <w:sz w:val="10"/>
                                <w:szCs w:val="10"/>
                              </w:rPr>
                              <w:t xml:space="preserve">№ </w:t>
                            </w:r>
                            <w:r>
                              <w:rPr>
                                <w:rStyle w:val="CharStyle18"/>
                                <w:rFonts w:ascii="Arial" w:eastAsia="Arial" w:hAnsi="Arial" w:cs="Arial"/>
                                <w:color w:val="595959"/>
                                <w:sz w:val="10"/>
                                <w:szCs w:val="10"/>
                                <w:lang w:val="en-US" w:eastAsia="en-US"/>
                              </w:rPr>
                              <w:t>00E748A8AC66C0EB9FB401CF51717A3446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Style w:val="CharStyle18"/>
                                <w:rFonts w:ascii="Arial" w:eastAsia="Arial" w:hAnsi="Arial" w:cs="Arial"/>
                                <w:color w:val="595959"/>
                                <w:sz w:val="10"/>
                                <w:szCs w:val="10"/>
                              </w:rPr>
                              <w:t xml:space="preserve">Действителен </w:t>
                            </w:r>
                            <w:r>
                              <w:rPr>
                                <w:rStyle w:val="CharStyle18"/>
                                <w:rFonts w:ascii="Arial" w:eastAsia="Arial" w:hAnsi="Arial" w:cs="Arial"/>
                                <w:color w:val="6F6F6F"/>
                                <w:sz w:val="10"/>
                                <w:szCs w:val="10"/>
                              </w:rPr>
                              <w:t xml:space="preserve">с </w:t>
                            </w:r>
                            <w:r>
                              <w:rPr>
                                <w:rStyle w:val="CharStyle18"/>
                                <w:rFonts w:ascii="Arial" w:eastAsia="Arial" w:hAnsi="Arial" w:cs="Arial"/>
                                <w:color w:val="595959"/>
                                <w:sz w:val="10"/>
                                <w:szCs w:val="10"/>
                              </w:rPr>
                              <w:t xml:space="preserve">13.01.2026 </w:t>
                            </w:r>
                            <w:r>
                              <w:rPr>
                                <w:rStyle w:val="CharStyle18"/>
                                <w:rFonts w:ascii="Arial" w:eastAsia="Arial" w:hAnsi="Arial" w:cs="Arial"/>
                                <w:color w:val="6F6F6F"/>
                                <w:sz w:val="10"/>
                                <w:szCs w:val="10"/>
                              </w:rPr>
                              <w:t xml:space="preserve">по </w:t>
                            </w:r>
                            <w:r>
                              <w:rPr>
                                <w:rStyle w:val="CharStyle18"/>
                                <w:rFonts w:ascii="Arial" w:eastAsia="Arial" w:hAnsi="Arial" w:cs="Arial"/>
                                <w:color w:val="595959"/>
                                <w:sz w:val="10"/>
                                <w:szCs w:val="10"/>
                              </w:rPr>
                              <w:t>08.04.2027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25.80000000000001pt;margin-top:0;width:141.09999999999999pt;height:19.449999999999999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rStyle w:val="CharStyle18"/>
                          <w:rFonts w:ascii="Arial" w:eastAsia="Arial" w:hAnsi="Arial" w:cs="Arial"/>
                          <w:color w:val="595959"/>
                          <w:sz w:val="10"/>
                          <w:szCs w:val="10"/>
                        </w:rPr>
                        <w:t xml:space="preserve">Кому выдан: </w:t>
                      </w:r>
                      <w:r>
                        <w:rPr>
                          <w:rStyle w:val="CharStyle18"/>
                          <w:rFonts w:ascii="Arial" w:eastAsia="Arial" w:hAnsi="Arial" w:cs="Arial"/>
                          <w:color w:val="000000"/>
                          <w:sz w:val="10"/>
                          <w:szCs w:val="10"/>
                        </w:rPr>
                        <w:t>Фисенко Евгения Викторовна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rStyle w:val="CharStyle18"/>
                          <w:rFonts w:ascii="Arial" w:eastAsia="Arial" w:hAnsi="Arial" w:cs="Arial"/>
                          <w:color w:val="595959"/>
                          <w:sz w:val="10"/>
                          <w:szCs w:val="10"/>
                        </w:rPr>
                        <w:t xml:space="preserve">Сертификат </w:t>
                      </w:r>
                      <w:r>
                        <w:rPr>
                          <w:rStyle w:val="CharStyle18"/>
                          <w:rFonts w:ascii="Arial" w:eastAsia="Arial" w:hAnsi="Arial" w:cs="Arial"/>
                          <w:sz w:val="10"/>
                          <w:szCs w:val="10"/>
                        </w:rPr>
                        <w:t xml:space="preserve">№ </w:t>
                      </w:r>
                      <w:r>
                        <w:rPr>
                          <w:rStyle w:val="CharStyle18"/>
                          <w:rFonts w:ascii="Arial" w:eastAsia="Arial" w:hAnsi="Arial" w:cs="Arial"/>
                          <w:color w:val="595959"/>
                          <w:sz w:val="10"/>
                          <w:szCs w:val="10"/>
                          <w:lang w:val="en-US" w:eastAsia="en-US"/>
                        </w:rPr>
                        <w:t>00E748A8AC66C0EB9FB401CF51717A3446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rStyle w:val="CharStyle18"/>
                          <w:rFonts w:ascii="Arial" w:eastAsia="Arial" w:hAnsi="Arial" w:cs="Arial"/>
                          <w:color w:val="595959"/>
                          <w:sz w:val="10"/>
                          <w:szCs w:val="10"/>
                        </w:rPr>
                        <w:t xml:space="preserve">Действителен </w:t>
                      </w:r>
                      <w:r>
                        <w:rPr>
                          <w:rStyle w:val="CharStyle18"/>
                          <w:rFonts w:ascii="Arial" w:eastAsia="Arial" w:hAnsi="Arial" w:cs="Arial"/>
                          <w:color w:val="6F6F6F"/>
                          <w:sz w:val="10"/>
                          <w:szCs w:val="10"/>
                        </w:rPr>
                        <w:t xml:space="preserve">с </w:t>
                      </w:r>
                      <w:r>
                        <w:rPr>
                          <w:rStyle w:val="CharStyle18"/>
                          <w:rFonts w:ascii="Arial" w:eastAsia="Arial" w:hAnsi="Arial" w:cs="Arial"/>
                          <w:color w:val="595959"/>
                          <w:sz w:val="10"/>
                          <w:szCs w:val="10"/>
                        </w:rPr>
                        <w:t xml:space="preserve">13.01.2026 </w:t>
                      </w:r>
                      <w:r>
                        <w:rPr>
                          <w:rStyle w:val="CharStyle18"/>
                          <w:rFonts w:ascii="Arial" w:eastAsia="Arial" w:hAnsi="Arial" w:cs="Arial"/>
                          <w:color w:val="6F6F6F"/>
                          <w:sz w:val="10"/>
                          <w:szCs w:val="10"/>
                        </w:rPr>
                        <w:t xml:space="preserve">по </w:t>
                      </w:r>
                      <w:r>
                        <w:rPr>
                          <w:rStyle w:val="CharStyle18"/>
                          <w:rFonts w:ascii="Arial" w:eastAsia="Arial" w:hAnsi="Arial" w:cs="Arial"/>
                          <w:color w:val="595959"/>
                          <w:sz w:val="10"/>
                          <w:szCs w:val="10"/>
                        </w:rPr>
                        <w:t>08.04.2027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1115695" distB="0" distL="0" distR="0" simplePos="0" relativeHeight="125829388" behindDoc="0" locked="0" layoutInCell="1" allowOverlap="1">
            <wp:simplePos x="0" y="0"/>
            <wp:positionH relativeFrom="page">
              <wp:posOffset>3163570</wp:posOffset>
            </wp:positionH>
            <wp:positionV relativeFrom="paragraph">
              <wp:posOffset>1115695</wp:posOffset>
            </wp:positionV>
            <wp:extent cx="1195070" cy="499745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195070" cy="4997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591185" distB="250190" distL="0" distR="0" simplePos="0" relativeHeight="125829389" behindDoc="0" locked="0" layoutInCell="1" allowOverlap="1">
                <wp:simplePos x="0" y="0"/>
                <wp:positionH relativeFrom="page">
                  <wp:posOffset>5973445</wp:posOffset>
                </wp:positionH>
                <wp:positionV relativeFrom="paragraph">
                  <wp:posOffset>591185</wp:posOffset>
                </wp:positionV>
                <wp:extent cx="1216025" cy="77089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6025" cy="7708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6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5"/>
                                <w:sz w:val="28"/>
                                <w:szCs w:val="28"/>
                              </w:rPr>
                              <w:t>Л. Б. Шиханова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5"/>
                                <w:sz w:val="28"/>
                                <w:szCs w:val="28"/>
                              </w:rPr>
                              <w:t>А.О. Теплов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70.35000000000002pt;margin-top:46.550000000000004pt;width:95.75pt;height:60.700000000000003pt;z-index:-125829364;mso-wrap-distance-left:0;mso-wrap-distance-top:46.550000000000004pt;mso-wrap-distance-right:0;mso-wrap-distance-bottom:19.699999999999999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6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5"/>
                          <w:sz w:val="28"/>
                          <w:szCs w:val="28"/>
                        </w:rPr>
                        <w:t>Л. Б. Шиханова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5"/>
                          <w:sz w:val="28"/>
                          <w:szCs w:val="28"/>
                        </w:rPr>
                        <w:t>А.О. Теплов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7" w:after="7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0" w:bottom="111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3"/>
          <w:sz w:val="22"/>
          <w:szCs w:val="22"/>
        </w:rPr>
        <w:t>Исп.Теплов А.О.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3"/>
          <w:sz w:val="22"/>
          <w:szCs w:val="22"/>
        </w:rPr>
        <w:t>тел.8 (499) 755-23-23 041-204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50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729615</wp:posOffset>
              </wp:positionH>
              <wp:positionV relativeFrom="page">
                <wp:posOffset>9994900</wp:posOffset>
              </wp:positionV>
              <wp:extent cx="636905" cy="10985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2026-1631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450000000000003pt;margin-top:787.pt;width:50.149999999999999pt;height:8.6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2026-1631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729615</wp:posOffset>
              </wp:positionH>
              <wp:positionV relativeFrom="page">
                <wp:posOffset>9851390</wp:posOffset>
              </wp:positionV>
              <wp:extent cx="636905" cy="10985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2026-1631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450000000000003pt;margin-top:775.70000000000005pt;width:50.149999999999999pt;height:8.6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2026-1631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Other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5">
    <w:name w:val="Body text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8">
    <w:name w:val="Picture caption_"/>
    <w:basedOn w:val="DefaultParagraphFont"/>
    <w:link w:val="Style1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43434"/>
      <w:sz w:val="9"/>
      <w:szCs w:val="9"/>
      <w:u w:val="none"/>
    </w:rPr>
  </w:style>
  <w:style w:type="paragraph" w:customStyle="1" w:styleId="Style2">
    <w:name w:val="Other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styleId="Style14">
    <w:name w:val="Body text"/>
    <w:basedOn w:val="Normal"/>
    <w:link w:val="CharStyle15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7">
    <w:name w:val="Picture caption"/>
    <w:basedOn w:val="Normal"/>
    <w:link w:val="CharStyle18"/>
    <w:pPr>
      <w:widowControl w:val="0"/>
      <w:shd w:val="clear" w:color="auto" w:fill="auto"/>
      <w:spacing w:line="235" w:lineRule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43434"/>
      <w:sz w:val="9"/>
      <w:szCs w:val="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