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1779905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798195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20.05.2026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21406/26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850000000000001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20.05.2026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21406/26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 xml:space="preserve">ГБОУ Школа </w:t>
      </w:r>
      <w:r>
        <w:rPr>
          <w:rStyle w:val="CharStyle7"/>
          <w:lang w:val="en-US" w:eastAsia="en-US"/>
        </w:rPr>
        <w:t>№ 1862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1140" w:right="0" w:firstLine="0"/>
        <w:jc w:val="both"/>
      </w:pPr>
      <w:r>
        <w:fldChar w:fldCharType="begin"/>
      </w:r>
      <w:r>
        <w:rPr/>
        <w:instrText> HYPERLINK "mailto:1862@edu.mos.ru" </w:instrText>
      </w:r>
      <w:r>
        <w:fldChar w:fldCharType="separate"/>
      </w:r>
      <w:r>
        <w:rPr>
          <w:rStyle w:val="CharStyle7"/>
          <w:lang w:val="en-US" w:eastAsia="en-US"/>
        </w:rPr>
        <w:t>1862@edu.mos.ru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 xml:space="preserve">ГБОУ Школа </w:t>
      </w:r>
      <w:r>
        <w:rPr>
          <w:rStyle w:val="CharStyle7"/>
          <w:lang w:val="en-US" w:eastAsia="en-US"/>
        </w:rPr>
        <w:t>№ 281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1140" w:right="0" w:firstLine="0"/>
        <w:jc w:val="both"/>
      </w:pPr>
      <w:r>
        <w:fldChar w:fldCharType="begin"/>
      </w:r>
      <w:r>
        <w:rPr/>
        <w:instrText> HYPERLINK "mailto:AbramkinaEV2@edu.mos.ru" </w:instrText>
      </w:r>
      <w:r>
        <w:fldChar w:fldCharType="separate"/>
      </w:r>
      <w:r>
        <w:rPr>
          <w:rStyle w:val="CharStyle7"/>
          <w:lang w:val="en-US" w:eastAsia="en-US"/>
        </w:rPr>
        <w:t>AbramkinaEV2@edu.mos.ru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 xml:space="preserve">ГБОУ Школа </w:t>
      </w:r>
      <w:r>
        <w:rPr>
          <w:rStyle w:val="CharStyle7"/>
          <w:lang w:val="en-US" w:eastAsia="en-US"/>
        </w:rPr>
        <w:t xml:space="preserve">№ 1558 </w:t>
      </w:r>
      <w:r>
        <w:rPr>
          <w:rStyle w:val="CharStyle7"/>
        </w:rPr>
        <w:t>им. Росалии де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1" w:lineRule="auto"/>
        <w:ind w:left="1140" w:right="0" w:firstLine="0"/>
        <w:jc w:val="both"/>
      </w:pPr>
      <w:r>
        <w:rPr>
          <w:rStyle w:val="CharStyle7"/>
        </w:rPr>
        <w:t>Кастро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"mailto:gimnaziya1558.do@mail.ru" </w:instrText>
      </w:r>
      <w:r>
        <w:fldChar w:fldCharType="separate"/>
      </w:r>
      <w:r>
        <w:rPr>
          <w:rStyle w:val="CharStyle7"/>
          <w:lang w:val="en-US" w:eastAsia="en-US"/>
        </w:rPr>
        <w:t>gimnaziya1558.do@mail.ru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rStyle w:val="CharStyle7"/>
        </w:rPr>
        <w:t>ООО «МОЙ МИР»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both"/>
      </w:pPr>
      <w:r>
        <w:fldChar w:fldCharType="begin"/>
      </w:r>
      <w:r>
        <w:rPr/>
        <w:instrText> HYPERLINK "mailto:MoiMir-2024@yandex.ru" </w:instrText>
      </w:r>
      <w:r>
        <w:fldChar w:fldCharType="separate"/>
      </w:r>
      <w:r>
        <w:rPr>
          <w:rStyle w:val="CharStyle7"/>
          <w:lang w:val="en-US" w:eastAsia="en-US"/>
        </w:rPr>
        <w:t>MoiMir-2024@yandex.ru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№077/06/105-6179/2026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7"/>
          <w:b/>
          <w:bCs/>
          <w:lang w:val="en-US" w:eastAsia="en-US"/>
        </w:rPr>
        <w:t>15.05.2026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Е.С. Переверзевой,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рассмотрение жалоб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ГБОУ Школа </w:t>
      </w:r>
      <w:r>
        <w:rPr>
          <w:rStyle w:val="CharStyle7"/>
          <w:lang w:val="en-US" w:eastAsia="en-US"/>
        </w:rPr>
        <w:t xml:space="preserve">№ 1862: </w:t>
      </w:r>
      <w:r>
        <w:rPr>
          <w:rStyle w:val="CharStyle7"/>
        </w:rPr>
        <w:t xml:space="preserve">Н.Е. Новиковой (по дов. от </w:t>
      </w:r>
      <w:r>
        <w:rPr>
          <w:rStyle w:val="CharStyle7"/>
          <w:lang w:val="en-US" w:eastAsia="en-US"/>
        </w:rPr>
        <w:t xml:space="preserve">14.05.2026 </w:t>
      </w:r>
      <w:r>
        <w:rPr>
          <w:rStyle w:val="CharStyle7"/>
        </w:rPr>
        <w:t>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ГБОУ Школа </w:t>
      </w:r>
      <w:r>
        <w:rPr>
          <w:rStyle w:val="CharStyle7"/>
          <w:lang w:val="en-US" w:eastAsia="en-US"/>
        </w:rPr>
        <w:t xml:space="preserve">№ 281: </w:t>
      </w:r>
      <w:r>
        <w:rPr>
          <w:rStyle w:val="CharStyle7"/>
        </w:rPr>
        <w:t xml:space="preserve">М.И. Липчанского (по дов. от </w:t>
      </w:r>
      <w:r>
        <w:rPr>
          <w:rStyle w:val="CharStyle7"/>
          <w:lang w:val="en-US" w:eastAsia="en-US"/>
        </w:rPr>
        <w:t xml:space="preserve">14.05.2026 №21), </w:t>
      </w:r>
      <w:r>
        <w:rPr>
          <w:rStyle w:val="CharStyle7"/>
        </w:rPr>
        <w:t xml:space="preserve">Е.В. Абрамкиной (по дов. от </w:t>
      </w:r>
      <w:r>
        <w:rPr>
          <w:rStyle w:val="CharStyle7"/>
          <w:lang w:val="en-US" w:eastAsia="en-US"/>
        </w:rPr>
        <w:t xml:space="preserve">14.05.2026 №20), </w:t>
      </w:r>
      <w:r>
        <w:rPr>
          <w:rStyle w:val="CharStyle7"/>
        </w:rPr>
        <w:t xml:space="preserve">Р.В. Матвеева (по дов. от </w:t>
      </w:r>
      <w:r>
        <w:rPr>
          <w:rStyle w:val="CharStyle7"/>
          <w:lang w:val="en-US" w:eastAsia="en-US"/>
        </w:rPr>
        <w:t xml:space="preserve">08.08.2025 </w:t>
      </w:r>
      <w:r>
        <w:rPr>
          <w:rStyle w:val="CharStyle7"/>
        </w:rPr>
        <w:t>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ГБОУ Школа </w:t>
      </w:r>
      <w:r>
        <w:rPr>
          <w:rStyle w:val="CharStyle7"/>
          <w:lang w:val="en-US" w:eastAsia="en-US"/>
        </w:rPr>
        <w:t xml:space="preserve">№ 1558 </w:t>
      </w:r>
      <w:r>
        <w:rPr>
          <w:rStyle w:val="CharStyle7"/>
        </w:rPr>
        <w:t xml:space="preserve">им. Росалии де Кастро: Е.Н. Бравиковой (по дов. от </w:t>
      </w:r>
      <w:r>
        <w:rPr>
          <w:rStyle w:val="CharStyle7"/>
          <w:lang w:val="en-US" w:eastAsia="en-US"/>
        </w:rPr>
        <w:t xml:space="preserve">10.11.2025 </w:t>
      </w:r>
      <w:r>
        <w:rPr>
          <w:rStyle w:val="CharStyle7"/>
        </w:rPr>
        <w:t>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ООО «МОЙ МИР»: Э.Т. Колесовой (по дов. от </w:t>
      </w:r>
      <w:r>
        <w:rPr>
          <w:rStyle w:val="CharStyle7"/>
          <w:lang w:val="en-US" w:eastAsia="en-US"/>
        </w:rPr>
        <w:t>07.05.2026 №2),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участии слушателя: А.В. Ильянковой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drawing>
          <wp:anchor distT="63500" distB="0" distL="114300" distR="114300" simplePos="0" relativeHeight="125829381" behindDoc="0" locked="0" layoutInCell="1" allowOverlap="1">
            <wp:simplePos x="0" y="0"/>
            <wp:positionH relativeFrom="page">
              <wp:posOffset>713105</wp:posOffset>
            </wp:positionH>
            <wp:positionV relativeFrom="margin">
              <wp:posOffset>9113520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рассмотрев жалобы ООО «МОЙ МИР»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ГБОУ Школа </w:t>
      </w:r>
      <w:r>
        <w:rPr>
          <w:rStyle w:val="CharStyle7"/>
          <w:lang w:val="en-US" w:eastAsia="en-US"/>
        </w:rPr>
        <w:t xml:space="preserve">№ 1862, </w:t>
      </w:r>
      <w:r>
        <w:rPr>
          <w:rStyle w:val="CharStyle7"/>
        </w:rPr>
        <w:t xml:space="preserve">ГБОУ Школа </w:t>
      </w:r>
      <w:r>
        <w:rPr>
          <w:rStyle w:val="CharStyle7"/>
          <w:lang w:val="en-US" w:eastAsia="en-US"/>
        </w:rPr>
        <w:t xml:space="preserve">№ 281, </w:t>
      </w:r>
      <w:r>
        <w:rPr>
          <w:rStyle w:val="CharStyle7"/>
        </w:rPr>
        <w:t xml:space="preserve">ГБОУ Школа </w:t>
      </w:r>
      <w:r>
        <w:rPr>
          <w:rStyle w:val="CharStyle7"/>
          <w:lang w:val="en-US" w:eastAsia="en-US"/>
        </w:rPr>
        <w:t xml:space="preserve">№ 1558 </w:t>
      </w:r>
      <w:r>
        <w:rPr>
          <w:rStyle w:val="CharStyle7"/>
        </w:rPr>
        <w:t xml:space="preserve">им. Росалии де Кастро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Заказчики) при проведении электронных аукционов на право заключения государственных контрактов на выполнение работ по проведению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both"/>
      </w:pPr>
      <w:r>
        <w:rPr>
          <w:rStyle w:val="CharStyle7"/>
        </w:rPr>
        <w:t xml:space="preserve">текущего ремонта зданий и (или) сооружений для нужд ГБОУ Школа </w:t>
      </w:r>
      <w:r>
        <w:rPr>
          <w:rStyle w:val="CharStyle7"/>
          <w:lang w:val="en-US" w:eastAsia="en-US"/>
        </w:rPr>
        <w:t xml:space="preserve">№ 1862 </w:t>
      </w:r>
      <w:r>
        <w:rPr>
          <w:rStyle w:val="CharStyle7"/>
        </w:rPr>
        <w:t xml:space="preserve">(Варшавское шоссе, д.106 корп.1), выполнение работ по проведению текущего ремонта зданий и /или сооружений для нужд ГБОУ Школа </w:t>
      </w:r>
      <w:r>
        <w:rPr>
          <w:rStyle w:val="CharStyle7"/>
          <w:lang w:val="en-US" w:eastAsia="en-US"/>
        </w:rPr>
        <w:t xml:space="preserve">№ 281 </w:t>
      </w:r>
      <w:r>
        <w:rPr>
          <w:rStyle w:val="CharStyle7"/>
        </w:rPr>
        <w:t xml:space="preserve">(г. Москва ул. Коминтерна д.16 корпус </w:t>
      </w:r>
      <w:r>
        <w:rPr>
          <w:rStyle w:val="CharStyle7"/>
          <w:lang w:val="en-US" w:eastAsia="en-US"/>
        </w:rPr>
        <w:t xml:space="preserve">1), </w:t>
      </w:r>
      <w:r>
        <w:rPr>
          <w:rStyle w:val="CharStyle7"/>
        </w:rPr>
        <w:t xml:space="preserve">выполнение работ по проведению текущего ремонта зданий на объекте ГБОУ Школа </w:t>
      </w:r>
      <w:r>
        <w:rPr>
          <w:rStyle w:val="CharStyle7"/>
          <w:lang w:val="en-US" w:eastAsia="en-US"/>
        </w:rPr>
        <w:t xml:space="preserve">№ 1558 </w:t>
      </w:r>
      <w:r>
        <w:rPr>
          <w:rStyle w:val="CharStyle7"/>
        </w:rPr>
        <w:t xml:space="preserve">имени Росалии де Кастро (г. Москва, ул. Ленская д.26, к. </w:t>
      </w:r>
      <w:r>
        <w:rPr>
          <w:rStyle w:val="CharStyle7"/>
          <w:lang w:val="en-US" w:eastAsia="en-US"/>
        </w:rPr>
        <w:t xml:space="preserve">1) </w:t>
      </w:r>
      <w:r>
        <w:rPr>
          <w:rStyle w:val="CharStyle7"/>
        </w:rPr>
        <w:t xml:space="preserve">(Закупки </w:t>
      </w:r>
      <w:r>
        <w:rPr>
          <w:rStyle w:val="CharStyle7"/>
          <w:lang w:val="en-US" w:eastAsia="en-US"/>
        </w:rPr>
        <w:t xml:space="preserve">№№№0373200145026000003, 0373200337526000003, 0373200140426000002)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аукционы),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№ </w:t>
      </w:r>
      <w:r>
        <w:rPr>
          <w:rStyle w:val="CharStyle7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Московское УФАС России поступили жалобы Заявителя на действия комиссии по осуществлению закупок Заказчика при проведении вышеуказанных аукционов.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В составе жалоб Заявитель указывает, что комиссией по осуществлению закупок Заказчика нарушены нормы Закона о контрактной системе в результате отклонения заявки ООО «МОЙ МИР».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05.05.2026 </w:t>
      </w:r>
      <w:r>
        <w:rPr>
          <w:rStyle w:val="CharStyle7"/>
        </w:rPr>
        <w:t xml:space="preserve">№ИЭА1 заявка участника закупки </w:t>
      </w:r>
      <w:r>
        <w:rPr>
          <w:rStyle w:val="CharStyle7"/>
          <w:lang w:val="en-US" w:eastAsia="en-US"/>
        </w:rPr>
        <w:t xml:space="preserve">№0373200145026000003, </w:t>
      </w:r>
      <w:r>
        <w:rPr>
          <w:rStyle w:val="CharStyle7"/>
        </w:rPr>
        <w:t xml:space="preserve">с идентификационным номером заявки </w:t>
      </w:r>
      <w:r>
        <w:rPr>
          <w:rStyle w:val="CharStyle7"/>
          <w:lang w:val="en-US" w:eastAsia="en-US"/>
        </w:rPr>
        <w:t xml:space="preserve">3163260, </w:t>
      </w:r>
      <w:r>
        <w:rPr>
          <w:rStyle w:val="CharStyle7"/>
        </w:rPr>
        <w:t>отклонена комиссией по осуществлению закупок Заказчика на следующем основании: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20"/>
        <w:jc w:val="both"/>
      </w:pPr>
      <w:r>
        <w:rPr>
          <w:rStyle w:val="CharStyle7"/>
        </w:rPr>
        <w:t>«</w:t>
      </w:r>
      <w:r>
        <w:rPr>
          <w:rStyle w:val="CharStyle7"/>
          <w:i/>
          <w:iCs/>
        </w:rPr>
        <w:t xml:space="preserve">Отклонить заявку на участие в закупке по п.3 ч.12 ст.48 №44-ФЗ «Несоответствие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44-ФЗ, требованиям установленным в извещении об осуществлении закупки в соответствии с ч.ч. </w:t>
      </w:r>
      <w:r>
        <w:rPr>
          <w:rStyle w:val="CharStyle7"/>
          <w:i/>
          <w:iCs/>
          <w:lang w:val="en-US" w:eastAsia="en-US"/>
        </w:rPr>
        <w:t xml:space="preserve">1.1 2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2.1 </w:t>
      </w:r>
      <w:r>
        <w:rPr>
          <w:rStyle w:val="CharStyle7"/>
          <w:i/>
          <w:iCs/>
        </w:rPr>
        <w:t xml:space="preserve">(при наличии таких требований) ст.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44-ФЗ» Отклонить заявку на участие в закупке по п.3 ч.12 ст.48 №44-ФЗ «Несоответствие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44-ФЗ, требованиям, установленным в извещении об осуществлении закупки в соответствии с ч.ч. </w:t>
      </w:r>
      <w:r>
        <w:rPr>
          <w:rStyle w:val="CharStyle7"/>
          <w:i/>
          <w:iCs/>
          <w:lang w:val="en-US" w:eastAsia="en-US"/>
        </w:rPr>
        <w:t xml:space="preserve">1.1, 2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2.1 </w:t>
      </w:r>
      <w:r>
        <w:rPr>
          <w:rStyle w:val="CharStyle7"/>
          <w:i/>
          <w:iCs/>
        </w:rPr>
        <w:t xml:space="preserve">(при наличии таких требований) ст.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44-ФЗ» В составе заявки участником в подтверждение соответствия указанному требованию представлен Договор №МГМСУ- УСЛ/100/2(Э) от 25.09.2024г.: на оказание услуг по техническому обслуживанию и текущему ремонту инженерных систем и коммуникаций (номер реестровой записи </w:t>
      </w:r>
      <w:r>
        <w:rPr>
          <w:rStyle w:val="CharStyle7"/>
          <w:i/>
          <w:iCs/>
          <w:lang w:val="en-US" w:eastAsia="en-US"/>
        </w:rPr>
        <w:t xml:space="preserve">1770708214520000144). </w:t>
      </w:r>
      <w:r>
        <w:rPr>
          <w:rStyle w:val="CharStyle7"/>
          <w:i/>
          <w:iCs/>
        </w:rPr>
        <w:t xml:space="preserve">Указанный договор подтверждает наличие у участника опыта по техническому обслуживанию и текущему ремонту инженерных систем и коммуникаций, в соответствии с п.14 раздела </w:t>
      </w:r>
      <w:r>
        <w:rPr>
          <w:rStyle w:val="CharStyle7"/>
          <w:i/>
          <w:iCs/>
          <w:lang w:val="en-US" w:eastAsia="en-US"/>
        </w:rPr>
        <w:t xml:space="preserve">II </w:t>
      </w:r>
      <w:r>
        <w:rPr>
          <w:rStyle w:val="CharStyle7"/>
          <w:i/>
          <w:iCs/>
        </w:rPr>
        <w:t xml:space="preserve">приложения к ПП РФ </w:t>
      </w:r>
      <w:r>
        <w:rPr>
          <w:rStyle w:val="CharStyle7"/>
          <w:i/>
          <w:iCs/>
          <w:lang w:val="en-US" w:eastAsia="en-US"/>
        </w:rPr>
        <w:t>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i/>
          <w:iCs/>
        </w:rPr>
        <w:t xml:space="preserve">что не соответствует требованию позиции </w:t>
      </w:r>
      <w:r>
        <w:rPr>
          <w:rStyle w:val="CharStyle7"/>
          <w:i/>
          <w:iCs/>
          <w:lang w:val="en-US" w:eastAsia="en-US"/>
        </w:rPr>
        <w:t xml:space="preserve">15 </w:t>
      </w:r>
      <w:r>
        <w:rPr>
          <w:rStyle w:val="CharStyle7"/>
          <w:i/>
          <w:iCs/>
        </w:rPr>
        <w:t xml:space="preserve">Раздела </w:t>
      </w:r>
      <w:r>
        <w:rPr>
          <w:rStyle w:val="CharStyle7"/>
          <w:i/>
          <w:iCs/>
          <w:lang w:val="en-US" w:eastAsia="en-US"/>
        </w:rPr>
        <w:t xml:space="preserve">II </w:t>
      </w:r>
      <w:r>
        <w:rPr>
          <w:rStyle w:val="CharStyle7"/>
          <w:i/>
          <w:iCs/>
        </w:rPr>
        <w:t xml:space="preserve">Приложения к Постановлению Правительства РФ от </w:t>
      </w:r>
      <w:r>
        <w:rPr>
          <w:rStyle w:val="CharStyle7"/>
          <w:i/>
          <w:iCs/>
          <w:lang w:val="en-US" w:eastAsia="en-US"/>
        </w:rPr>
        <w:t xml:space="preserve">29.12.2021 № 2571 . </w:t>
      </w:r>
      <w:r>
        <w:rPr>
          <w:rStyle w:val="CharStyle7"/>
          <w:i/>
          <w:iCs/>
        </w:rPr>
        <w:t>Представленный участником контракт не подтверждает наличие опыта выполнения работ указанных в требованиях аукционной документации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07.05.2026 </w:t>
      </w:r>
      <w:r>
        <w:rPr>
          <w:rStyle w:val="CharStyle7"/>
        </w:rPr>
        <w:t xml:space="preserve">№ИЭА1 заявка участника закупки </w:t>
      </w:r>
      <w:r>
        <w:rPr>
          <w:rStyle w:val="CharStyle7"/>
          <w:lang w:val="en-US" w:eastAsia="en-US"/>
        </w:rPr>
        <w:t xml:space="preserve">№0373200337526000003, </w:t>
      </w:r>
      <w:r>
        <w:rPr>
          <w:rStyle w:val="CharStyle7"/>
        </w:rPr>
        <w:t xml:space="preserve">с идентификационным номером заявки </w:t>
      </w:r>
      <w:r>
        <w:rPr>
          <w:rStyle w:val="CharStyle7"/>
          <w:lang w:val="en-US" w:eastAsia="en-US"/>
        </w:rPr>
        <w:t xml:space="preserve">3175292, </w:t>
      </w:r>
      <w:r>
        <w:rPr>
          <w:rStyle w:val="CharStyle7"/>
        </w:rPr>
        <w:t>отклонена комиссией по осуществлению закупок Заказчика на следующем основании: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«</w:t>
      </w:r>
      <w:r>
        <w:rPr>
          <w:rStyle w:val="CharStyle7"/>
          <w:i/>
          <w:iCs/>
        </w:rPr>
        <w:t xml:space="preserve">Отклонить заявку на участие в закупке по п.3 ч.12 ст.48 №44-ФЗ «Несоответствие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44-ФЗ, требованиям установленным в извещении об осуществлении закупки в соответствии с ч.ч. </w:t>
      </w:r>
      <w:r>
        <w:rPr>
          <w:rStyle w:val="CharStyle7"/>
          <w:i/>
          <w:iCs/>
          <w:lang w:val="en-US" w:eastAsia="en-US"/>
        </w:rPr>
        <w:t xml:space="preserve">1.1 2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2.1 </w:t>
      </w:r>
      <w:r>
        <w:rPr>
          <w:rStyle w:val="CharStyle7"/>
          <w:i/>
          <w:iCs/>
        </w:rPr>
        <w:t xml:space="preserve">(при наличии таких требований) ст.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44-ФЗ» В соответствии с извещением о проведении запроса котировок в электронной форме заказчиком установлено дополнительное требование к участникам закупки, предусмотренное пунктом </w:t>
      </w:r>
      <w:r>
        <w:rPr>
          <w:rStyle w:val="CharStyle7"/>
          <w:i/>
          <w:iCs/>
          <w:lang w:val="en-US" w:eastAsia="en-US"/>
        </w:rPr>
        <w:t xml:space="preserve">15 </w:t>
      </w:r>
      <w:r>
        <w:rPr>
          <w:rStyle w:val="CharStyle7"/>
          <w:i/>
          <w:iCs/>
        </w:rPr>
        <w:t xml:space="preserve">Раздела </w:t>
      </w:r>
      <w:r>
        <w:rPr>
          <w:rStyle w:val="CharStyle7"/>
          <w:i/>
          <w:iCs/>
          <w:lang w:val="en-US" w:eastAsia="en-US"/>
        </w:rPr>
        <w:t xml:space="preserve">II </w:t>
      </w:r>
      <w:r>
        <w:rPr>
          <w:rStyle w:val="CharStyle7"/>
          <w:i/>
          <w:iCs/>
        </w:rPr>
        <w:t xml:space="preserve">Приложения к Постановлению Правительства РФ от </w:t>
      </w:r>
      <w:r>
        <w:rPr>
          <w:rStyle w:val="CharStyle7"/>
          <w:i/>
          <w:iCs/>
          <w:lang w:val="en-US" w:eastAsia="en-US"/>
        </w:rPr>
        <w:t xml:space="preserve">29.12.2021 № 2571, </w:t>
      </w:r>
      <w:r>
        <w:rPr>
          <w:rStyle w:val="CharStyle7"/>
          <w:i/>
          <w:iCs/>
        </w:rPr>
        <w:t>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>наличие у участника закупки одного из следующих видов опыта выполнения работ: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>1)опыт исполнения договора, предусматривающего выполнение работ по текущему ремонту зданий, сооружений;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>2)опыт исполнения договора, предусматривающего выполнение работ по строительству, реконструкции, капитальному ремонту объекта капитального строительства.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Цена выполненных работ по договору, предусмотренному пунктом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или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настоящей графы настоящей позиции, должна составлять не менее </w:t>
      </w:r>
      <w:r>
        <w:rPr>
          <w:rStyle w:val="CharStyle7"/>
          <w:i/>
          <w:iCs/>
          <w:lang w:val="en-US" w:eastAsia="en-US"/>
        </w:rPr>
        <w:t xml:space="preserve">20 </w:t>
      </w:r>
      <w:r>
        <w:rPr>
          <w:rStyle w:val="CharStyle7"/>
          <w:i/>
          <w:iCs/>
        </w:rPr>
        <w:t xml:space="preserve">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 подтверждающие соответствие участников закупки дополнительным требованиям: </w:t>
      </w:r>
      <w:r>
        <w:rPr>
          <w:rStyle w:val="CharStyle7"/>
          <w:i/>
          <w:iCs/>
          <w:lang w:val="en-US" w:eastAsia="en-US"/>
        </w:rPr>
        <w:t xml:space="preserve">1) </w:t>
      </w:r>
      <w:r>
        <w:rPr>
          <w:rStyle w:val="CharStyle7"/>
          <w:i/>
          <w:iCs/>
        </w:rPr>
        <w:t xml:space="preserve">исполненный договор; </w:t>
      </w:r>
      <w:r>
        <w:rPr>
          <w:rStyle w:val="CharStyle7"/>
          <w:i/>
          <w:iCs/>
          <w:lang w:val="en-US" w:eastAsia="en-US"/>
        </w:rPr>
        <w:t xml:space="preserve">2) </w:t>
      </w:r>
      <w:r>
        <w:rPr>
          <w:rStyle w:val="CharStyle7"/>
          <w:i/>
          <w:iCs/>
        </w:rPr>
        <w:t>акт выполненных работ подтверждающий цену выполненных работ.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24" w:right="531" w:bottom="1114" w:left="108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rStyle w:val="CharStyle7"/>
          <w:i/>
          <w:iCs/>
        </w:rPr>
        <w:t xml:space="preserve">В составе заявки участником в подтверждение соответствия указанному требованию представлен Гражданско-правовой договор </w:t>
      </w:r>
      <w:r>
        <w:rPr>
          <w:rStyle w:val="CharStyle7"/>
          <w:i/>
          <w:iCs/>
          <w:lang w:val="en-US" w:eastAsia="en-US"/>
        </w:rPr>
        <w:t xml:space="preserve">№ </w:t>
      </w:r>
      <w:r>
        <w:rPr>
          <w:rStyle w:val="CharStyle7"/>
          <w:i/>
          <w:iCs/>
        </w:rPr>
        <w:t>МГМСУ- УСЛ/100/2(Э): Услуги по техническому обслуживанию и текущему ремонту инженерных систем и коммуникаций по адресам: г. Москва: ул.Делегатская, д.20. стр.1; ул.Вучетича, д.9А, стр.2; ул.Вучетича, д.10; ул.Вучетича, д.10, стр.1; ул.Вучетича, д.10, стр.2; ул.Онежская, д.7, кор.1; ул.Онежская, д.7, кор.2; Старомонетный пер., д.5; ул.Б.Жигуленкова, д.23; ул.Б.Жигуленкова, д.23, стр.1; Милютинский пер., д.19/4, стр.2; 3-й Крутицкий пер., д.11; ул.Вучетича, д.9А стр.1; ул.Долгоруковская, д.4; ул.Долгоруковская, д.4, стр.2; ул.Долгоруковская, д.4 стр.3; ул.Долгоруковская, д.4, стр.7 в период с 01.01.2021г. по 31.12.2021г. (номер реестровой записи 1770708214520000144).Указанный договор подтверждает наличие у участника опыта выполнения работ по техническому обслуживанию и текущему ремонту инженерных систем и коммуникаций, что соответствует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i/>
          <w:iCs/>
        </w:rPr>
        <w:t xml:space="preserve">требованию позиции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Раздела </w:t>
      </w:r>
      <w:r>
        <w:rPr>
          <w:rStyle w:val="CharStyle7"/>
          <w:i/>
          <w:iCs/>
          <w:lang w:val="en-US" w:eastAsia="en-US"/>
        </w:rPr>
        <w:t xml:space="preserve">II </w:t>
      </w:r>
      <w:r>
        <w:rPr>
          <w:rStyle w:val="CharStyle7"/>
          <w:i/>
          <w:iCs/>
        </w:rPr>
        <w:t xml:space="preserve">Приложения к Постановлению Правительства РФ от </w:t>
      </w:r>
      <w:r>
        <w:rPr>
          <w:rStyle w:val="CharStyle7"/>
          <w:i/>
          <w:iCs/>
          <w:lang w:val="en-US" w:eastAsia="en-US"/>
        </w:rPr>
        <w:t xml:space="preserve">29.12.2021 № 2571 </w:t>
      </w:r>
      <w:r>
        <w:rPr>
          <w:rStyle w:val="CharStyle7"/>
          <w:i/>
          <w:iCs/>
        </w:rPr>
        <w:t xml:space="preserve">(Работы, услуги по техническому обслуживанию зданий сооружений). Вместе с тем извещением о проведении электронного аукциона установлено требование по позиции </w:t>
      </w:r>
      <w:r>
        <w:rPr>
          <w:rStyle w:val="CharStyle7"/>
          <w:i/>
          <w:iCs/>
          <w:lang w:val="en-US" w:eastAsia="en-US"/>
        </w:rPr>
        <w:t xml:space="preserve">15, </w:t>
      </w:r>
      <w:r>
        <w:rPr>
          <w:rStyle w:val="CharStyle7"/>
          <w:i/>
          <w:iCs/>
        </w:rPr>
        <w:t>которая предусматривает иные виды работ (текущий ремонт зданий/сооружений либо строительство, реконструкция капитальный ремонт объекта капитального строительства).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Позиции </w:t>
      </w:r>
      <w:r>
        <w:rPr>
          <w:rStyle w:val="CharStyle7"/>
          <w:i/>
          <w:iCs/>
          <w:lang w:val="en-US" w:eastAsia="en-US"/>
        </w:rPr>
        <w:t xml:space="preserve">14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15 </w:t>
      </w:r>
      <w:r>
        <w:rPr>
          <w:rStyle w:val="CharStyle7"/>
          <w:i/>
          <w:iCs/>
        </w:rPr>
        <w:t xml:space="preserve">Приложения к ПП РФ </w:t>
      </w:r>
      <w:r>
        <w:rPr>
          <w:rStyle w:val="CharStyle7"/>
          <w:i/>
          <w:iCs/>
          <w:lang w:val="en-US" w:eastAsia="en-US"/>
        </w:rPr>
        <w:t xml:space="preserve">№ 2571 </w:t>
      </w:r>
      <w:r>
        <w:rPr>
          <w:rStyle w:val="CharStyle7"/>
          <w:i/>
          <w:iCs/>
        </w:rPr>
        <w:t xml:space="preserve">являются самостоятельными и не взаимозаменяемыми видами дополнительных требований. Представленный участником договор не подтверждает наличие опыта выполнения работ указанных в позиции </w:t>
      </w:r>
      <w:r>
        <w:rPr>
          <w:rStyle w:val="CharStyle7"/>
          <w:i/>
          <w:iCs/>
          <w:lang w:val="en-US" w:eastAsia="en-US"/>
        </w:rPr>
        <w:t>15».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08.05.2026 </w:t>
      </w:r>
      <w:r>
        <w:rPr>
          <w:rStyle w:val="CharStyle7"/>
        </w:rPr>
        <w:t xml:space="preserve">№ИЭА1 заявка участника закупки </w:t>
      </w:r>
      <w:r>
        <w:rPr>
          <w:rStyle w:val="CharStyle7"/>
          <w:lang w:val="en-US" w:eastAsia="en-US"/>
        </w:rPr>
        <w:t xml:space="preserve">№0373200140426000002, </w:t>
      </w:r>
      <w:r>
        <w:rPr>
          <w:rStyle w:val="CharStyle7"/>
        </w:rPr>
        <w:t xml:space="preserve">с идентификационным номером заявки </w:t>
      </w:r>
      <w:r>
        <w:rPr>
          <w:rStyle w:val="CharStyle7"/>
          <w:lang w:val="en-US" w:eastAsia="en-US"/>
        </w:rPr>
        <w:t xml:space="preserve">3175304, </w:t>
      </w:r>
      <w:r>
        <w:rPr>
          <w:rStyle w:val="CharStyle7"/>
        </w:rPr>
        <w:t>отклонена комиссией по осуществлению закупок Заказчика на следующем основании: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«</w:t>
      </w:r>
      <w:r>
        <w:rPr>
          <w:rStyle w:val="CharStyle7"/>
          <w:i/>
          <w:iCs/>
        </w:rPr>
        <w:t xml:space="preserve">Отклонить заявку на участие в закупке по п.3 ч.12 ст.48 №44-ФЗ «Несоответствие участника закупки требованиям, установленным в извещении об осуществлении закупки в соответствии с ч. </w:t>
      </w:r>
      <w:r>
        <w:rPr>
          <w:rStyle w:val="CharStyle7"/>
          <w:i/>
          <w:iCs/>
          <w:lang w:val="en-US" w:eastAsia="en-US"/>
        </w:rPr>
        <w:t xml:space="preserve">1 </w:t>
      </w:r>
      <w:r>
        <w:rPr>
          <w:rStyle w:val="CharStyle7"/>
          <w:i/>
          <w:iCs/>
        </w:rPr>
        <w:t xml:space="preserve">с.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44-ФЗ, требованиям установленным в извещении об осуществлении закупки в соответствии с ч.ч. </w:t>
      </w:r>
      <w:r>
        <w:rPr>
          <w:rStyle w:val="CharStyle7"/>
          <w:i/>
          <w:iCs/>
          <w:lang w:val="en-US" w:eastAsia="en-US"/>
        </w:rPr>
        <w:t xml:space="preserve">1.1 2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 xml:space="preserve">2.1 </w:t>
      </w:r>
      <w:r>
        <w:rPr>
          <w:rStyle w:val="CharStyle7"/>
          <w:i/>
          <w:iCs/>
        </w:rPr>
        <w:t xml:space="preserve">(при наличии таких требований) ст. </w:t>
      </w:r>
      <w:r>
        <w:rPr>
          <w:rStyle w:val="CharStyle7"/>
          <w:i/>
          <w:iCs/>
          <w:lang w:val="en-US" w:eastAsia="en-US"/>
        </w:rPr>
        <w:t xml:space="preserve">31 </w:t>
      </w:r>
      <w:r>
        <w:rPr>
          <w:rStyle w:val="CharStyle7"/>
          <w:i/>
          <w:iCs/>
        </w:rPr>
        <w:t xml:space="preserve">44-ФЗ» В качестве документа подтверждающего соответствие дополнительным требованиям, участник представил договор </w:t>
      </w:r>
      <w:r>
        <w:rPr>
          <w:rStyle w:val="CharStyle7"/>
          <w:i/>
          <w:iCs/>
          <w:lang w:val="en-US" w:eastAsia="en-US"/>
        </w:rPr>
        <w:t xml:space="preserve">1770708214520000144 </w:t>
      </w:r>
      <w:r>
        <w:rPr>
          <w:rStyle w:val="CharStyle7"/>
          <w:i/>
          <w:iCs/>
        </w:rPr>
        <w:t xml:space="preserve">на оказание услуг по техническому обслуживанию и текущему ремонту инженерных систем и коммуникаций (код ОКПД2 </w:t>
      </w:r>
      <w:r>
        <w:rPr>
          <w:rStyle w:val="CharStyle7"/>
          <w:i/>
          <w:iCs/>
          <w:lang w:val="en-US" w:eastAsia="en-US"/>
        </w:rPr>
        <w:t xml:space="preserve">37.00.11.150), </w:t>
      </w:r>
      <w:r>
        <w:rPr>
          <w:rStyle w:val="CharStyle7"/>
          <w:i/>
          <w:iCs/>
        </w:rPr>
        <w:t xml:space="preserve">что не соответствует предмету проводимой закупки (выполнение работ по текущему ремонту). Указанный договор не является подтверждением соответствия участника закупки дополнительным требованиям, установленным на основании позиции </w:t>
      </w:r>
      <w:r>
        <w:rPr>
          <w:rStyle w:val="CharStyle7"/>
          <w:i/>
          <w:iCs/>
          <w:lang w:val="en-US" w:eastAsia="en-US"/>
        </w:rPr>
        <w:t xml:space="preserve">15 </w:t>
      </w:r>
      <w:r>
        <w:rPr>
          <w:rStyle w:val="CharStyle7"/>
          <w:i/>
          <w:iCs/>
        </w:rPr>
        <w:t xml:space="preserve">приложения к ПП РФ </w:t>
      </w:r>
      <w:r>
        <w:rPr>
          <w:rStyle w:val="CharStyle7"/>
          <w:i/>
          <w:iCs/>
          <w:lang w:val="en-US" w:eastAsia="en-US"/>
        </w:rPr>
        <w:t>N 2571».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П.12 ч.1 ст.42 Закона о контрактной системе установлено, что извещение об осуществлении закупки, должно содержать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7"/>
        </w:rPr>
        <w:t xml:space="preserve"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 опыта работы, </w:t>
      </w:r>
      <w:r>
        <w:rPr>
          <w:rStyle w:val="CharStyle7"/>
          <w:sz w:val="24"/>
          <w:szCs w:val="24"/>
          <w:lang w:val="en-US" w:eastAsia="en-US"/>
        </w:rPr>
        <w:t>2026-24163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связанного с предметом контракта, и деловой репутации.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ст.31 Закона о контрактной системе,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Вместе с этим пп.«а» п.1 постановления Правительства РФ от </w:t>
      </w:r>
      <w:r>
        <w:rPr>
          <w:rStyle w:val="CharStyle7"/>
          <w:lang w:val="en-US" w:eastAsia="en-US"/>
        </w:rPr>
        <w:t xml:space="preserve">29.12.2021 №2571 </w:t>
      </w:r>
      <w:r>
        <w:rPr>
          <w:rStyle w:val="CharStyle7"/>
        </w:rPr>
        <w:t xml:space="preserve"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Постановление </w:t>
      </w:r>
      <w:r>
        <w:rPr>
          <w:rStyle w:val="CharStyle7"/>
          <w:lang w:val="en-US" w:eastAsia="en-US"/>
        </w:rPr>
        <w:t xml:space="preserve">№2571) </w:t>
      </w:r>
      <w:r>
        <w:rPr>
          <w:rStyle w:val="CharStyle7"/>
        </w:rPr>
        <w:t xml:space="preserve">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услуг, участникам отдельных видов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Приложение).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пп.«а» п.3 Постановления </w:t>
      </w:r>
      <w:r>
        <w:rPr>
          <w:rStyle w:val="CharStyle7"/>
          <w:lang w:val="en-US" w:eastAsia="en-US"/>
        </w:rPr>
        <w:t xml:space="preserve">№2571 </w:t>
      </w:r>
      <w:r>
        <w:rPr>
          <w:rStyle w:val="CharStyle7"/>
        </w:rPr>
        <w:t xml:space="preserve">положения Постановления </w:t>
      </w:r>
      <w:r>
        <w:rPr>
          <w:rStyle w:val="CharStyle7"/>
          <w:lang w:val="en-US" w:eastAsia="en-US"/>
        </w:rPr>
        <w:t xml:space="preserve">№2571 </w:t>
      </w:r>
      <w:r>
        <w:rPr>
          <w:rStyle w:val="CharStyle7"/>
        </w:rPr>
        <w:t>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позиция Приложения применяется с учетом положений п.3 Постановления </w:t>
      </w:r>
      <w:r>
        <w:rPr>
          <w:rStyle w:val="CharStyle7"/>
          <w:lang w:val="en-US" w:eastAsia="en-US"/>
        </w:rPr>
        <w:t xml:space="preserve">№2571 </w:t>
      </w:r>
      <w:r>
        <w:rPr>
          <w:rStyle w:val="CharStyle7"/>
        </w:rPr>
        <w:t>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 вне зависимости от сферы осуществления деятельности заказчика;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позиции </w:t>
      </w:r>
      <w:r>
        <w:rPr>
          <w:rStyle w:val="CharStyle7"/>
          <w:lang w:val="en-US" w:eastAsia="en-US"/>
        </w:rPr>
        <w:t xml:space="preserve">14, 15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36 </w:t>
      </w:r>
      <w:r>
        <w:rPr>
          <w:rStyle w:val="CharStyle7"/>
        </w:rPr>
        <w:t xml:space="preserve">Приложения применяются в случае, если при осуществлении закупки начальная (максимальная) цена контракта превышает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п.15 Приложения при проведении закупочной процедуры объектом которой являются работы по текущему ремонту зданий, сооружений к участникам закупочной процедуры предъявляются дополнительные требования о наличии у участника закупки одного из следующих видов опыта выполнения работ: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опыт исполнения договора, предусматривающего выполнение работ по текущему ремонту зданий, сооружений;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120" w:line="240" w:lineRule="auto"/>
        <w:ind w:left="0" w:right="0" w:firstLine="700"/>
        <w:jc w:val="both"/>
      </w:pPr>
      <w:r>
        <w:rPr>
          <w:rStyle w:val="CharStyle7"/>
        </w:rPr>
        <w:t>опыт исполнения договора, предусматривающего выполнение работ по строительству, реконструкции, капитальному ремонту объекта капитального строительства.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31" w:right="533" w:bottom="651" w:left="1081" w:header="0" w:footer="223" w:gutter="0"/>
          <w:cols w:space="720"/>
          <w:noEndnote/>
          <w:rtlGutter w:val="0"/>
          <w:docGrid w:linePitch="360"/>
        </w:sectPr>
      </w:pPr>
      <w:r>
        <w:rPr>
          <w:rStyle w:val="CharStyle16"/>
          <w:sz w:val="24"/>
          <w:szCs w:val="24"/>
          <w:lang w:val="en-US" w:eastAsia="en-US"/>
        </w:rPr>
        <w:t>2026-24163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Цена выполненных работ по договору, предусмотренному пунктом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или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настоящей графы настоящей позиции, должна составлять не менее </w:t>
      </w:r>
      <w:r>
        <w:rPr>
          <w:rStyle w:val="CharStyle7"/>
          <w:lang w:val="en-US" w:eastAsia="en-US"/>
        </w:rPr>
        <w:t xml:space="preserve">20 </w:t>
      </w:r>
      <w:r>
        <w:rPr>
          <w:rStyle w:val="CharStyle7"/>
        </w:rPr>
        <w:t>процентов начальной (максимальной) цены контракта, заключаемого по результатам определения поставщика (подрядчика, исполнителя)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п.9 ч.1 ст.42 Закона о контрактной системе извещение об осуществлении закупки должно содержать информацию о начальной (максимальной) цене контракта (цена отдельных этапов исполнения контракта, если проектом контракта предусмотрены такие этапы), источнике финансирования, наименовании валюты в соответствии с общероссийским классификатором валют. В случае, предусмотренном ч.24 ст.22 Закона о контрактной системе, указываются начальная цена единицы товара, работы, услуги, а также начальная сумма цен указанных единиц и максимальное значение цены контракта без указания цен отдельных этапов исполнения контракта. В случаях, установленных Правительством Российской Федерации в соответствии с ч.2 ст.34 Закона о контрактной системе, указываются ориентировочное значение цены контракта либо формула цены и максимальное значение цены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извещению об осуществлении закупки </w:t>
      </w:r>
      <w:r>
        <w:rPr>
          <w:rStyle w:val="CharStyle7"/>
          <w:lang w:val="en-US" w:eastAsia="en-US"/>
        </w:rPr>
        <w:t xml:space="preserve">№0373200145026000003, </w:t>
      </w:r>
      <w:r>
        <w:rPr>
          <w:rStyle w:val="CharStyle7"/>
        </w:rPr>
        <w:t xml:space="preserve">объектом закупочной процедуры является выполнение работ по проведению текущего ремонта зданий и (или) сооружений для нужд ГБОУ Школа </w:t>
      </w:r>
      <w:r>
        <w:rPr>
          <w:rStyle w:val="CharStyle7"/>
          <w:lang w:val="en-US" w:eastAsia="en-US"/>
        </w:rPr>
        <w:t xml:space="preserve">№ 1862 </w:t>
      </w:r>
      <w:r>
        <w:rPr>
          <w:rStyle w:val="CharStyle7"/>
        </w:rPr>
        <w:t xml:space="preserve">(Варшавское шоссе, д.106 корп.1), начальная (максимальная) цена контракта составляет </w:t>
      </w:r>
      <w:r>
        <w:rPr>
          <w:rStyle w:val="CharStyle7"/>
          <w:lang w:val="en-US" w:eastAsia="en-US"/>
        </w:rPr>
        <w:t xml:space="preserve">2 393 665,38 </w:t>
      </w:r>
      <w:r>
        <w:rPr>
          <w:rStyle w:val="CharStyle7"/>
        </w:rPr>
        <w:t>руб;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извещению об осуществлении закупки </w:t>
      </w:r>
      <w:r>
        <w:rPr>
          <w:rStyle w:val="CharStyle7"/>
          <w:lang w:val="en-US" w:eastAsia="en-US"/>
        </w:rPr>
        <w:t xml:space="preserve">№0373200337526000003, </w:t>
      </w:r>
      <w:r>
        <w:rPr>
          <w:rStyle w:val="CharStyle7"/>
        </w:rPr>
        <w:t xml:space="preserve">объектом закупочной процедуры является выполнение работ по проведению текущего ремонта зданий и /или сооружений для нужд ГБОУ Школа </w:t>
      </w:r>
      <w:r>
        <w:rPr>
          <w:rStyle w:val="CharStyle7"/>
          <w:lang w:val="en-US" w:eastAsia="en-US"/>
        </w:rPr>
        <w:t xml:space="preserve">№ 281 </w:t>
      </w:r>
      <w:r>
        <w:rPr>
          <w:rStyle w:val="CharStyle7"/>
        </w:rPr>
        <w:t xml:space="preserve">(г. Москва ул. Коминтерна д.16 корпус </w:t>
      </w:r>
      <w:r>
        <w:rPr>
          <w:rStyle w:val="CharStyle7"/>
          <w:lang w:val="en-US" w:eastAsia="en-US"/>
        </w:rPr>
        <w:t xml:space="preserve">1), </w:t>
      </w:r>
      <w:r>
        <w:rPr>
          <w:rStyle w:val="CharStyle7"/>
        </w:rPr>
        <w:t xml:space="preserve">начальная (максимальная) цена контракта составляет </w:t>
      </w:r>
      <w:r>
        <w:rPr>
          <w:rStyle w:val="CharStyle7"/>
          <w:lang w:val="en-US" w:eastAsia="en-US"/>
        </w:rPr>
        <w:t xml:space="preserve">3 347 645,52 </w:t>
      </w:r>
      <w:r>
        <w:rPr>
          <w:rStyle w:val="CharStyle7"/>
        </w:rPr>
        <w:t>руб;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извещению об осуществлении закупки </w:t>
      </w:r>
      <w:r>
        <w:rPr>
          <w:rStyle w:val="CharStyle7"/>
          <w:lang w:val="en-US" w:eastAsia="en-US"/>
        </w:rPr>
        <w:t xml:space="preserve">№0373200140426000002, </w:t>
      </w:r>
      <w:r>
        <w:rPr>
          <w:rStyle w:val="CharStyle7"/>
        </w:rPr>
        <w:t xml:space="preserve">объектом закупочной процедуры является выполнение работ по проведению текущего ремонта зданий на объекте ГБОУ Школа </w:t>
      </w:r>
      <w:r>
        <w:rPr>
          <w:rStyle w:val="CharStyle7"/>
          <w:lang w:val="en-US" w:eastAsia="en-US"/>
        </w:rPr>
        <w:t xml:space="preserve">№ 1558 </w:t>
      </w:r>
      <w:r>
        <w:rPr>
          <w:rStyle w:val="CharStyle7"/>
        </w:rPr>
        <w:t xml:space="preserve">имени Росалии де Кастро (г. Москва, ул. Ленская д.26, к. </w:t>
      </w:r>
      <w:r>
        <w:rPr>
          <w:rStyle w:val="CharStyle7"/>
          <w:lang w:val="en-US" w:eastAsia="en-US"/>
        </w:rPr>
        <w:t xml:space="preserve">1), </w:t>
      </w:r>
      <w:r>
        <w:rPr>
          <w:rStyle w:val="CharStyle7"/>
        </w:rPr>
        <w:t xml:space="preserve">начальная (максимальная) цена контракта составляет </w:t>
      </w:r>
      <w:r>
        <w:rPr>
          <w:rStyle w:val="CharStyle7"/>
          <w:lang w:val="en-US" w:eastAsia="en-US"/>
        </w:rPr>
        <w:t xml:space="preserve">2 978 063,11 </w:t>
      </w:r>
      <w:r>
        <w:rPr>
          <w:rStyle w:val="CharStyle7"/>
        </w:rPr>
        <w:t>руб.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ч.5 ст.31 Закона о контрактной системе информация об установленных требованиях в соответствии с частями </w:t>
      </w:r>
      <w:r>
        <w:rPr>
          <w:rStyle w:val="CharStyle7"/>
          <w:lang w:val="en-US" w:eastAsia="en-US"/>
        </w:rPr>
        <w:t xml:space="preserve">1, 1.1, 2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ст.31 Закона о контрактной системе указывается заказчиком в извещении об осуществлении закупки и документации о закупке (в случае, если Законом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предусмотрена документация о закупке).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Также Комиссией Управления установлено, что в составе извещений Заказчиком установлены дополнительные требования к участникам закупки в соответствии с позицией </w:t>
      </w:r>
      <w:r>
        <w:rPr>
          <w:rStyle w:val="CharStyle7"/>
          <w:lang w:val="en-US" w:eastAsia="en-US"/>
        </w:rPr>
        <w:t xml:space="preserve">15 </w:t>
      </w:r>
      <w:r>
        <w:rPr>
          <w:rStyle w:val="CharStyle7"/>
        </w:rPr>
        <w:t>Приложения.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пп.«н» п.1 ч.1 ст.43 Закона о контрактной системе заявка на участие в закупке должна содержать документы, информацию и документы, которые подтверждают соответствие участника закупки требованиям, установленным п.1 ч.1 ст.31 Закона о контрактной системе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</w:t>
        <w:softHyphen/>
        <w:t xml:space="preserve">телекоммуникационной сети «Интернет», и в такую заявку включена предусмотренная пп.«о» п.1 ч.1 ст.43 Закона о контрактной системе декларация о соответствии участника закупки требованиям, установленным п.1 ч.1 ст.31 Закона о контрактной системе), информацию и документы, которые подтверждают соответствие участника закупки дополнительным требованиям, установленным в соответствии с частями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системе, если иное не предусмотрено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п.3 ч.6 ст.43 Закона о контрактной системе при проведении электронных процедур информация и документы, которые подтверждают соответствие участника закупки дополнительным требованиям, установленным в соответствии с ч.2 или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системе, и предусмотренные пп.«н» п.1 ч.1 ст.43 Закона о контрактной системе, не включаются участником закупки в заявку на участие в закупке. Такие информация и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Абз.9 пп.«б» п.3 Постановления </w:t>
      </w:r>
      <w:r>
        <w:rPr>
          <w:rStyle w:val="CharStyle7"/>
          <w:lang w:val="en-US" w:eastAsia="en-US"/>
        </w:rPr>
        <w:t xml:space="preserve">№2571 </w:t>
      </w:r>
      <w:r>
        <w:rPr>
          <w:rStyle w:val="CharStyle7"/>
        </w:rPr>
        <w:t>определено, что если предусмотренные приложением в графе «Информация и документы, подтверждающие соответствие участников закупки дополнительным требованиям» документы и информация о таких документах содержатся в открытых и общедоступных государственных реестрах, размещенных в информационно</w:t>
        <w:softHyphen/>
        <w:t xml:space="preserve">телекоммуникационной сети «Интернет», в том числе ведение которых осуществляется в единой информационной системе в сфере закупок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единая информационная система) с размещением на официальном сайте единой информационной системы в информационнотелекоммуникационной сети «Интернет» таких документов, вместо направления таких документов участник закупки вправе направить в соответствии с Законом о контрактной системе номер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реестровой записи из соответствующего реестра.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Комиссией Управления установлено, что, оператором электронной площадки, в соответствии с п.3 ч.6 ст.43 Закона о контрактной системе, направлены Заказчику в том числе следующие сведения: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контракт №МГМСУ- УСЛ/100/2(Э) на оказание услуг по техническому обслуживанию и текущему ремонту инженерных систем и коммуникаций по адресам: г. Москва: ул.Делегатская, д.20. стр.1; ул.Вучетича, д.9А, стр.2; ул.Вучетича, д.10; ул.Вучетича, д.10, стр.1; ул.Вучетича, д.10, стр.2; ул.Онежская, д.7, кор.1; ул.Онежская, д.7, кор.2; Старомонетный пер., д.5; ул.Б.Жигуленкова, д.23; ул.Б.Жигуленкова, д.23, стр.1; Милютинский пер., д.19/4, стр.2; 3-й Крутицкий пер., д.11; ул.Вучетича, д.9А, стр.1; ул.Долгоруковская, д.4; ул.Долгоруковская, д.4, стр.2; ул.Долгоруковская, д.4, стр.3; ул.Долгоруковская, д.4, стр.7 в период с 01.01.2021г. по 31.12.2021г. (Для субъектов малого предпринимательства, социально ориентированных некоммерческих организаций);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акты приема-сдачи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</w:t>
        <w:softHyphen/>
        <w:t>8</w:t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>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осуществлении закупки в соответствии с ч.1.1,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1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представители Заказчика пояснили, что представленный участником договор не подтверждает требуемый опыт выполнения работ по текущему ремонту зданий и сооружений.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В подтверждение соответствия дополнительным требованиям заявителем представлен договор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МГМСУ-УСЛ/100/2(Э) от </w:t>
      </w:r>
      <w:r>
        <w:rPr>
          <w:rStyle w:val="CharStyle7"/>
          <w:lang w:val="en-US" w:eastAsia="en-US"/>
        </w:rPr>
        <w:t xml:space="preserve">30.11.2000 </w:t>
      </w:r>
      <w:r>
        <w:rPr>
          <w:rStyle w:val="CharStyle7"/>
        </w:rPr>
        <w:t xml:space="preserve">на оказание услуг по техническому обслуживанию и текущему ремонту инженерных систем и коммуникаций кода ОКПД2 </w:t>
      </w:r>
      <w:r>
        <w:rPr>
          <w:rStyle w:val="CharStyle7"/>
          <w:lang w:val="en-US" w:eastAsia="en-US"/>
        </w:rPr>
        <w:t xml:space="preserve">37.00.11.150). </w:t>
      </w:r>
      <w:r>
        <w:rPr>
          <w:rStyle w:val="CharStyle7"/>
        </w:rPr>
        <w:t xml:space="preserve">Указанный вид деятельности относится к позиции </w:t>
      </w:r>
      <w:r>
        <w:rPr>
          <w:rStyle w:val="CharStyle7"/>
          <w:lang w:val="en-US" w:eastAsia="en-US"/>
        </w:rPr>
        <w:t xml:space="preserve">14 </w:t>
      </w:r>
      <w:r>
        <w:rPr>
          <w:rStyle w:val="CharStyle7"/>
        </w:rPr>
        <w:t xml:space="preserve">Приложения к Постановлению </w:t>
      </w:r>
      <w:r>
        <w:rPr>
          <w:rStyle w:val="CharStyle7"/>
          <w:lang w:val="en-US" w:eastAsia="en-US"/>
        </w:rPr>
        <w:t xml:space="preserve">№ 2571 </w:t>
      </w:r>
      <w:r>
        <w:rPr>
          <w:rStyle w:val="CharStyle7"/>
        </w:rPr>
        <w:t xml:space="preserve">«Работы, услуги по техническому обслуживанию зданий, сооружений», а не к позиции </w:t>
      </w:r>
      <w:r>
        <w:rPr>
          <w:rStyle w:val="CharStyle7"/>
          <w:lang w:val="en-US" w:eastAsia="en-US"/>
        </w:rPr>
        <w:t xml:space="preserve">15 </w:t>
      </w:r>
      <w:r>
        <w:rPr>
          <w:rStyle w:val="CharStyle7"/>
        </w:rPr>
        <w:t>«Работы по текущему ремонту зданий, сооружений», требование о наличии опыта по которой установлено в извещении.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п. </w:t>
      </w:r>
      <w:r>
        <w:rPr>
          <w:rStyle w:val="CharStyle7"/>
          <w:lang w:val="en-US" w:eastAsia="en-US"/>
        </w:rPr>
        <w:t xml:space="preserve">3.11 </w:t>
      </w:r>
      <w:r>
        <w:rPr>
          <w:rStyle w:val="CharStyle7"/>
        </w:rPr>
        <w:t xml:space="preserve">СП </w:t>
      </w:r>
      <w:r>
        <w:rPr>
          <w:rStyle w:val="CharStyle7"/>
          <w:lang w:val="en-US" w:eastAsia="en-US"/>
        </w:rPr>
        <w:t xml:space="preserve">255.1325800.2016, </w:t>
      </w:r>
      <w:r>
        <w:rPr>
          <w:rStyle w:val="CharStyle7"/>
        </w:rPr>
        <w:t xml:space="preserve">текущее обслуживание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это поддержание надлежащего технического состояния зданий; согласно п. </w:t>
      </w:r>
      <w:r>
        <w:rPr>
          <w:rStyle w:val="CharStyle7"/>
          <w:lang w:val="en-US" w:eastAsia="en-US"/>
        </w:rPr>
        <w:t xml:space="preserve">3.12 </w:t>
      </w:r>
      <w:r>
        <w:rPr>
          <w:rStyle w:val="CharStyle7"/>
        </w:rPr>
        <w:t xml:space="preserve">того же Свода правил, текущий ремонт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это комплекс мероприятий по восстановлению исправности и ресурса. Техническое обслуживание предполагает длящийся характер и периодичность оказываемых услуг, тогда как текущий ремонт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работы разового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характера. Наличие опыта технического обслуживания инженерных систем не свидетельствует о наличии опыта выполнения работ по текущему ремонту зданий в целом.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Более того, оператор электронной площадки в силу ст.24.2 Закона о контрактной системе и Постановления Правительства </w:t>
      </w:r>
      <w:r>
        <w:rPr>
          <w:rStyle w:val="CharStyle7"/>
          <w:lang w:val="en-US" w:eastAsia="en-US"/>
        </w:rPr>
        <w:t xml:space="preserve">№ 1202 </w:t>
      </w:r>
      <w:r>
        <w:rPr>
          <w:rStyle w:val="CharStyle7"/>
        </w:rPr>
        <w:t xml:space="preserve">не наделен полномочиями по проверке контрактов на предмет их соответствия требованиям Постановления </w:t>
      </w:r>
      <w:r>
        <w:rPr>
          <w:rStyle w:val="CharStyle7"/>
          <w:lang w:val="en-US" w:eastAsia="en-US"/>
        </w:rPr>
        <w:t xml:space="preserve">№ 2571. </w:t>
      </w:r>
      <w:r>
        <w:rPr>
          <w:rStyle w:val="CharStyle7"/>
        </w:rPr>
        <w:t>Соответствие участника дополнительным требованиям проверяется исключительно комиссией заказчика. Отклонение заявки, не соответствующей установленным требованиям, не является ограничением конкуренции, а направлено на обеспечение равного доступа к участию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Поскольку участником не подтвержден опыт выполнения работ, предусмотренный позицией </w:t>
      </w:r>
      <w:r>
        <w:rPr>
          <w:rStyle w:val="CharStyle7"/>
          <w:lang w:val="en-US" w:eastAsia="en-US"/>
        </w:rPr>
        <w:t xml:space="preserve">15 </w:t>
      </w:r>
      <w:r>
        <w:rPr>
          <w:rStyle w:val="CharStyle7"/>
        </w:rPr>
        <w:t xml:space="preserve">Приложения к Постановлению </w:t>
      </w:r>
      <w:r>
        <w:rPr>
          <w:rStyle w:val="CharStyle7"/>
          <w:lang w:val="en-US" w:eastAsia="en-US"/>
        </w:rPr>
        <w:t xml:space="preserve">№ 2571, </w:t>
      </w:r>
      <w:r>
        <w:rPr>
          <w:rStyle w:val="CharStyle7"/>
        </w:rPr>
        <w:t>комиссия заказчика признала заявку не соответствующей требованиям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Изучив содержание оспариваемого договора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МГМСУ-УСЛ/100/2(Э), Комиссией Управления установлено, что в рамках выполнения работ по контракту участнику требовалось осуществить услуги по техническому обслуживанию и текущему ремонту инженерных систем и коммуникаций.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Вместе с тем в каком объёме, а также на какую сумму Заявителем оказывались соответствующие услуги по техническому обслуживанию и текущему ремонту инженерных систем и коммуникаций в рамках представленного контракта не следует, а также из универсальных передаточных актов.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Так, например, акт приема-сдачи услуг за январь </w:t>
      </w:r>
      <w:r>
        <w:rPr>
          <w:rStyle w:val="CharStyle7"/>
          <w:lang w:val="en-US" w:eastAsia="en-US"/>
        </w:rPr>
        <w:t xml:space="preserve">2021 </w:t>
      </w:r>
      <w:r>
        <w:rPr>
          <w:rStyle w:val="CharStyle7"/>
        </w:rPr>
        <w:t xml:space="preserve">года отражает информацию о комплексе услуг: «Услуги по техническому обслуживанню и текущему ремонту инженерных систем и коммуникаций по адресам г. Москва: кол- во </w:t>
      </w:r>
      <w:r>
        <w:rPr>
          <w:rStyle w:val="CharStyle7"/>
          <w:lang w:val="en-US" w:eastAsia="en-US"/>
        </w:rPr>
        <w:t xml:space="preserve">(1), </w:t>
      </w:r>
      <w:r>
        <w:rPr>
          <w:rStyle w:val="CharStyle7"/>
        </w:rPr>
        <w:t xml:space="preserve">ед. цены с НДС </w:t>
      </w:r>
      <w:r>
        <w:rPr>
          <w:rStyle w:val="CharStyle7"/>
          <w:lang w:val="en-US" w:eastAsia="en-US"/>
        </w:rPr>
        <w:t xml:space="preserve">(605 15, 33 </w:t>
      </w:r>
      <w:r>
        <w:rPr>
          <w:rStyle w:val="CharStyle7"/>
        </w:rPr>
        <w:t xml:space="preserve">рублей), всего с НДС </w:t>
      </w:r>
      <w:r>
        <w:rPr>
          <w:rStyle w:val="CharStyle7"/>
          <w:lang w:val="en-US" w:eastAsia="en-US"/>
        </w:rPr>
        <w:t xml:space="preserve">(605 158, 33 </w:t>
      </w:r>
      <w:r>
        <w:rPr>
          <w:rStyle w:val="CharStyle7"/>
        </w:rPr>
        <w:t>рублей)».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представителем Заявителя не указано из каких документов и сведений, направленных оператором электронной площадки напрямую следует объем оказания услуг по техническому обслуживанию, а из каких по текущему ремонту инженерных систем и коммуникаций для удовлетворения установленных в извещении дополнительных требований к участникам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Исходя из вышеизложенного, Комиссия Управления приходит к выводу, что квалифицировать отношения сторон по оспариваемому смешанному контракту, соответствующих видам работ, предусмотренных п.15 Приложения </w:t>
      </w:r>
      <w:r>
        <w:rPr>
          <w:rStyle w:val="CharStyle7"/>
          <w:lang w:val="en-US" w:eastAsia="en-US"/>
        </w:rPr>
        <w:t xml:space="preserve">№2 </w:t>
      </w:r>
      <w:r>
        <w:rPr>
          <w:rStyle w:val="CharStyle7"/>
        </w:rPr>
        <w:t xml:space="preserve">к Постановлению </w:t>
      </w:r>
      <w:r>
        <w:rPr>
          <w:rStyle w:val="CharStyle7"/>
          <w:lang w:val="en-US" w:eastAsia="en-US"/>
        </w:rPr>
        <w:t xml:space="preserve">№2571, </w:t>
      </w:r>
      <w:r>
        <w:rPr>
          <w:rStyle w:val="CharStyle7"/>
        </w:rPr>
        <w:t>не представляется возможным.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Обратного на заседании Комиссии Управления представителем Заявителя доказано не было.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Одновременно с этим Комиссия Управления также считает необходимым отметить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Согласно ч.12 ст.24.2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 которых установлены дополнительные требования в соответствии с ч.2 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ст.31 Закона о контрактной системе, участник закупки, аккредитованный на электронной площадке, направляет оператору этой электронной площадки в отношении каждого такого вида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7"/>
        </w:rPr>
        <w:t>информацию и документы, предусмотренные перечнем, установленным Правительством Российской Федерации в соответствии с ч.3 ст.31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Согласно ч.12.1 ст.24.2 Закона о контрактной системе в целях обеспечения доступа к участию в закрытых электронных процедурах участник закупки, аккредитованный на специализированной электронной площадке, направляет оператору этой специализированной электронной площадки информацию и документы, подтверждающие соответствие участника закупки требованиям, предусмотренным п.1 ч.1 ст.31 Закона о контрактной системе (при наличии таких информации и документов). Если информация и документы, которые подтверждают соответствие участника закупки указанным требованиям, содержатся в открытых и общедоступных государственных реестрах, размещенных в информационно-телекоммуникационной сети «Интернет», участник закупки вместо направления таких информации и документов вправе направить оператору специализированной электронной площадки адрес сайта или страницы сайта в информационно-телекоммуникационной сети «Интернет», на которых размещены такие информация и документы. Помимо таких информации и документов участник закупки вправе направить оператору специализированной электронной площадки информацию и документы, предусмотренные перечнем, установленным Правительством Российской Федерации в соответствии с ч.3 ст.31 Закона о контрактной системе, в целях обеспечения доступа к участию в проводимых на этой специализированной электронной площадке закупках, в отношении участников которых установлены дополнительные требования в соответствии с частями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статьи </w:t>
      </w:r>
      <w:r>
        <w:rPr>
          <w:rStyle w:val="CharStyle7"/>
          <w:lang w:val="en-US" w:eastAsia="en-US"/>
        </w:rPr>
        <w:t xml:space="preserve">31 </w:t>
      </w:r>
      <w:r>
        <w:rPr>
          <w:rStyle w:val="CharStyle7"/>
        </w:rPr>
        <w:t>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Согласно ч.13 ст.24.2 Закона о контрактной системе в течение пяти рабочих дней со дня, следующего за днем получения в соответствии с ч.12 и </w:t>
      </w:r>
      <w:r>
        <w:rPr>
          <w:rStyle w:val="CharStyle7"/>
          <w:lang w:val="en-US" w:eastAsia="en-US"/>
        </w:rPr>
        <w:t xml:space="preserve">12.1 </w:t>
      </w:r>
      <w:r>
        <w:rPr>
          <w:rStyle w:val="CharStyle7"/>
        </w:rPr>
        <w:t>ст.24.2 Закона о контрактной системе информации и документов, оператор электронной площадки, оператор специализированной электронной площадки по каждому виду товаров, работ, услуг, в отношении которых участником закупки предоставлены такие информация и документы, принимает решение: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о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об отказе в размещении таких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площадке, в случае: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несоответствия перечня представленных информации и документов перечню, который установлен Правительством Российской Федерации в соответствии с ч.3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085" w:left="1102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нарушения порядка, установленного Правительством Российской Федерации в соответствии с ч.15 ст.24.2 Закона о контрактной системе, при направлении таких информации и документов.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Вместе с этим п.1 Постановления Правительства РФ от </w:t>
      </w:r>
      <w:r>
        <w:rPr>
          <w:rStyle w:val="CharStyle7"/>
          <w:lang w:val="en-US" w:eastAsia="en-US"/>
        </w:rPr>
        <w:t xml:space="preserve">14.09.2019 №1202 </w:t>
      </w:r>
      <w:r>
        <w:rPr>
          <w:rStyle w:val="CharStyle7"/>
        </w:rPr>
        <w:t xml:space="preserve">«О порядке взаимодействия участника закупки и оператора электронной площадки, оператора специализированной электронной площадки» утверждены Правила взаимодействия участника закупки и оператора электронной площадки, оператора специализированной электронной площадки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Правила).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П.1 Правил устанавливает порядок взаимодействия участника закупки и оператора электронной площадки, оператора специализированной электронной площадки при направлении участником закупки, аккредитованным на электронной площадке, специализированной электронной площадке в соответствии с ч.4 и </w:t>
      </w:r>
      <w:r>
        <w:rPr>
          <w:rStyle w:val="CharStyle7"/>
          <w:lang w:val="en-US" w:eastAsia="en-US"/>
        </w:rPr>
        <w:t xml:space="preserve">4.3 </w:t>
      </w:r>
      <w:r>
        <w:rPr>
          <w:rStyle w:val="CharStyle7"/>
        </w:rPr>
        <w:t>ст.24.2 Закона о контрактной системе, таким операторам информации и документов, предусмотренных перечнем, установленным Правительством Российской Федерации в соответствии с ч.3 ст.31 Закона о контрактной системе, и рассмотрении оператором электронной площадки, оператором специализированной электронной площадки таких документов.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П.2 Правил установлено, что в целях обеспечения доступа к участию в проводимых на электронной площадке, специализированной электронной площадке закупках, в отношении участников которых установлены дополнительные требования в соответствии с ч.2 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 xml:space="preserve">ст.31 Закона о контрактной системе, участник закупки после идентификации и аутентификации на электронной площадке, специализированной электронной площадке направляет оператору соответствующей площадки информацию и документы, предусмотренные перечнем, установленным в соответствии с ч.3 ст.31 Закона о контрактной системе, путем формирования и подписания электронной подписью, вид которой предусмотрен Законом о контрактной системе, информации и документов, предусмотренных п.4 Постановления </w:t>
      </w:r>
      <w:r>
        <w:rPr>
          <w:rStyle w:val="CharStyle7"/>
          <w:lang w:val="en-US" w:eastAsia="en-US"/>
        </w:rPr>
        <w:t xml:space="preserve">№2571 </w:t>
      </w:r>
      <w:r>
        <w:rPr>
          <w:rStyle w:val="CharStyle7"/>
        </w:rPr>
        <w:t xml:space="preserve">Приложения к указанному Постановлению </w:t>
      </w:r>
      <w:r>
        <w:rPr>
          <w:rStyle w:val="CharStyle7"/>
          <w:lang w:val="en-US" w:eastAsia="en-US"/>
        </w:rPr>
        <w:t xml:space="preserve">№2571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приложение к дополнительным требованиям).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При этом: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5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документы формируются в форме электронного документа или образа бумажного документа с указанием даты подписания документа;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при формировании информации и документов, предусмотренных приложением к дополнительным требованиям в графе «Информация и документы, подтверждающие соответствие участников закупки дополнительным требованиям», участник закупки указывает: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39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номера позиции приложения к дополнительным требованиям;</w:t>
      </w:r>
    </w:p>
    <w:p>
      <w:pPr>
        <w:pStyle w:val="Style6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 xml:space="preserve">цену поставленных товаров, выполненных работ, оказанных услуг по договору (контракту), предусмотренному приложением к дополнительным требованиям в графе «Информация и документы, подтверждающие соответствие участников закупки дополнительным требованиям», определяемую с учетом абзаца пятого пп.«б» п.3 Постановления </w:t>
      </w:r>
      <w:r>
        <w:rPr>
          <w:rStyle w:val="CharStyle7"/>
          <w:lang w:val="en-US" w:eastAsia="en-US"/>
        </w:rPr>
        <w:t>2571;</w:t>
      </w:r>
    </w:p>
    <w:p>
      <w:pPr>
        <w:pStyle w:val="Style6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51" w:val="left"/>
        </w:tabs>
        <w:bidi w:val="0"/>
        <w:spacing w:before="0" w:after="80" w:line="252" w:lineRule="auto"/>
        <w:ind w:left="0" w:right="0" w:firstLine="700"/>
        <w:jc w:val="both"/>
      </w:pPr>
      <w:r>
        <w:rPr>
          <w:rStyle w:val="CharStyle7"/>
        </w:rPr>
        <w:t>в случае наличия правопреемства участник закупки также формирует и подписывает информацию и (или) документы, подтверждающие такое правопреемство.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658" w:left="1101" w:header="0" w:footer="230" w:gutter="0"/>
          <w:cols w:space="720"/>
          <w:noEndnote/>
          <w:rtlGutter w:val="0"/>
          <w:docGrid w:linePitch="360"/>
        </w:sectPr>
      </w:pPr>
      <w:r>
        <w:rPr>
          <w:rStyle w:val="CharStyle16"/>
          <w:sz w:val="24"/>
          <w:szCs w:val="24"/>
          <w:lang w:val="en-US" w:eastAsia="en-US"/>
        </w:rPr>
        <w:t>2026-24163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П.4 Правил установлено, что оператор электронной площадки, оператор специализированной электронной площадки рассматривают информацию и документы, предусмотренные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Правил, на предмет: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наличия информации и документов, предусмотренных настоящими Правилами;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наличия информации об участнике закупки (с учетом информации и документов, предусмотренных пп.«в» п.2 Правил) в таких информации и документах, за исключением случаев, если в соответствии с законодательством Российской Федерации указание такой информации не предусмотрено;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непревышения ценой поставленных товаров, выполненных работ, оказанных услуг по договору (контракту), предусмотренной абзацем третьим подпункта «б» п.2 Правил, цены такого договора (контракта);</w:t>
      </w:r>
    </w:p>
    <w:p>
      <w:pPr>
        <w:pStyle w:val="Style6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соответствие информации и документов, сформированных и предусмотренных приложением к дополнительным требованиям в графе «Информация и документы, подтверждающие соответствие участников закупки дополнительным требованиям», положениям абзацев шестого, восьмого и одиннадцатого пп.«б» п.3 Постановления </w:t>
      </w:r>
      <w:r>
        <w:rPr>
          <w:rStyle w:val="CharStyle7"/>
          <w:lang w:val="en-US" w:eastAsia="en-US"/>
        </w:rPr>
        <w:t>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Таким образом, исходя из вышеизложенного, представляется возможным прийти к выводу, что оператор электронной площадки, в полном объеме, не наделен полномочиями по проверке представляемых контрактов, договоров, документов на предмет соответствия таких контрактов и договоров требованиям Постановления </w:t>
      </w:r>
      <w:r>
        <w:rPr>
          <w:rStyle w:val="CharStyle7"/>
          <w:lang w:val="en-US" w:eastAsia="en-US"/>
        </w:rPr>
        <w:t>№2571.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 этом Комиссия Управлении отмечает, что ч.11 ст.48 Закона о контрактной системе однозначно установлена обязанность комиссии Заказчика осуществить проверку представленных в составе заявки Заявителем, а также направленных оператором электронной площадки, документов и сведений, при этом решение оператора электронной площадки о принятии документов, не свидетельствует об отсутствии у комиссии по осуществлению закупки обязанности по осуществлению действий, предусмотренных ч.11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Более того, Комиссия Управления обращает внимание, что из содержания представленного контракта не представляется возможным выделить в отдельные показатели объем работ, выполненных по техническому обслуживанию, и объем работ, выполненных по текущему ремонту инженерных систем и коммуникаций, поскольку соответствующие виды работ в договоре не разграничены.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спорный контракт не соответствует дополнительным требованиям, установленным в извещении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Таким образом, Комиссия Управления приходит к выводу о том, что у комиссии Заказчика имелись основания для отклонения заявок Заявителя, ввиду чего, решение комиссии об отклонении заявок Заявителя является правомерным и не противоречит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Признать жалобы ООО «МОЙ МИР» на действия комиссии по осуществлению закупок ГБОУ Школа </w:t>
      </w:r>
      <w:r>
        <w:rPr>
          <w:rStyle w:val="CharStyle7"/>
          <w:lang w:val="en-US" w:eastAsia="en-US"/>
        </w:rPr>
        <w:t xml:space="preserve">№ 1862, </w:t>
      </w:r>
      <w:r>
        <w:rPr>
          <w:rStyle w:val="CharStyle7"/>
        </w:rPr>
        <w:t xml:space="preserve">ГБОУ Школа </w:t>
      </w:r>
      <w:r>
        <w:rPr>
          <w:rStyle w:val="CharStyle7"/>
          <w:lang w:val="en-US" w:eastAsia="en-US"/>
        </w:rPr>
        <w:t xml:space="preserve">№ 281, </w:t>
      </w:r>
      <w:r>
        <w:rPr>
          <w:rStyle w:val="CharStyle7"/>
        </w:rPr>
        <w:t xml:space="preserve">ГБОУ Школа </w:t>
      </w:r>
      <w:r>
        <w:rPr>
          <w:rStyle w:val="CharStyle7"/>
          <w:lang w:val="en-US" w:eastAsia="en-US"/>
        </w:rPr>
        <w:t xml:space="preserve">№ 1558 </w:t>
      </w:r>
      <w:r>
        <w:rPr>
          <w:rStyle w:val="CharStyle7"/>
        </w:rPr>
        <w:t>им. Росалии де Кастро необоснованными.</w:t>
      </w:r>
    </w:p>
    <w:p>
      <w:pPr>
        <w:pStyle w:val="Style6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16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196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1630" distL="0" distR="0" simplePos="0" relativeHeight="125829382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8.pt;margin-top:10.pt;width:145.20000000000002pt;height:19.900000000000002pt;z-index:-125829371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4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200025</wp:posOffset>
            </wp:positionV>
            <wp:extent cx="359410" cy="52451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605155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75pt;margin-top:47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60000000000002pt;margin-top:22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1630" distL="0" distR="0" simplePos="0" relativeHeight="125829385" behindDoc="0" locked="0" layoutInCell="1" allowOverlap="1">
                <wp:simplePos x="0" y="0"/>
                <wp:positionH relativeFrom="page">
                  <wp:posOffset>5911850</wp:posOffset>
                </wp:positionH>
                <wp:positionV relativeFrom="paragraph">
                  <wp:posOffset>127000</wp:posOffset>
                </wp:positionV>
                <wp:extent cx="1304290" cy="2527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65.5pt;margin-top:10.pt;width:102.7pt;height:19.900000000000002pt;z-index:-125829368;mso-wrap-distance-left:0;mso-wrap-distance-top:10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</w:t>
      </w:r>
      <w:r>
        <w:rPr>
          <w:rStyle w:val="CharStyle22"/>
          <w:color w:val="565656"/>
        </w:rPr>
        <w:t xml:space="preserve">выдан: </w:t>
      </w:r>
      <w:r>
        <w:rPr>
          <w:rStyle w:val="CharStyle22"/>
          <w:color w:val="000000"/>
          <w:sz w:val="11"/>
          <w:szCs w:val="11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00EA3D636CED58A70F15417FA130B2F6C</w:t>
      </w:r>
      <w:r>
        <w:rPr>
          <w:rStyle w:val="CharStyle22"/>
          <w:lang w:val="en-US" w:eastAsia="en-US"/>
        </w:rPr>
        <w:t>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565656"/>
        </w:rPr>
        <w:t>20.04.2026 по 14.07.2027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60705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467360</wp:posOffset>
                </wp:positionV>
                <wp:extent cx="1283335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80.75pt;margin-top:36.80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150495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7.60000000000002pt;margin-top:11.8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М.О. Мацнева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Мацнева Мария Олеговна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00FDA1C988AAB27A9A34756B8D5F1D853</w:t>
      </w:r>
      <w:r>
        <w:rPr>
          <w:rStyle w:val="CharStyle22"/>
          <w:lang w:val="en-US" w:eastAsia="en-US"/>
        </w:rPr>
        <w:t>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22"/>
        </w:rPr>
        <w:t xml:space="preserve">Действителен с 22.07.2025 </w:t>
      </w:r>
      <w:r>
        <w:rPr>
          <w:rStyle w:val="CharStyle22"/>
          <w:color w:val="565656"/>
        </w:rPr>
        <w:t xml:space="preserve">по </w:t>
      </w:r>
      <w:r>
        <w:rPr>
          <w:rStyle w:val="CharStyle22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7.40000000000003pt;margin-top:11.95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Е.С. Переверзева</w: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1"/>
          <w:szCs w:val="11"/>
        </w:rPr>
      </w:pPr>
      <w:r>
        <w:rPr>
          <w:rStyle w:val="CharStyle22"/>
          <w:color w:val="FFFFFF"/>
          <w:sz w:val="11"/>
          <w:szCs w:val="11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  <w:sz w:val="11"/>
          <w:szCs w:val="11"/>
        </w:rPr>
        <w:t>ПЕРЕВЕРЗЕВА ЕЛИЗАВЕТА СЕРГЕЕВНА</w:t>
      </w:r>
      <w:r>
        <w:rPr>
          <w:rStyle w:val="CharStyle22"/>
          <w:color w:val="000000"/>
          <w:sz w:val="11"/>
          <w:szCs w:val="11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00FFF3ACD3A01A73F4C680C3941</w:t>
      </w:r>
      <w:r>
        <w:rPr>
          <w:rStyle w:val="CharStyle22"/>
        </w:rPr>
        <w:t>ЕЗСА026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380" w:line="266" w:lineRule="auto"/>
        <w:ind w:right="0" w:firstLine="0"/>
        <w:jc w:val="left"/>
      </w:pPr>
      <w:r>
        <w:rPr>
          <w:rStyle w:val="CharStyle22"/>
        </w:rPr>
        <w:t xml:space="preserve">Действителен с 11.12.2025 </w:t>
      </w:r>
      <w:r>
        <w:rPr>
          <w:rStyle w:val="CharStyle22"/>
          <w:color w:val="565656"/>
        </w:rPr>
        <w:t xml:space="preserve">по </w:t>
      </w:r>
      <w:r>
        <w:rPr>
          <w:rStyle w:val="CharStyle22"/>
        </w:rPr>
        <w:t>06.03.2027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2026-24163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2026-24163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10199370</wp:posOffset>
              </wp:positionV>
              <wp:extent cx="728345" cy="14351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43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</w:rPr>
                            <w:t>2026-24163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649999999999999pt;margin-top:803.10000000000002pt;width:57.350000000000001pt;height:11.3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</w:rPr>
                      <w:t>2026-24163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2026-24163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050000000000004pt;margin-top:794.70000000000005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2026-24163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0"/>
                              <w:sz w:val="24"/>
                              <w:szCs w:val="24"/>
                              <w:lang w:val="ru-RU" w:eastAsia="ru-RU"/>
                            </w:rPr>
                            <w:t>2026-24163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7.050000000000004pt;margin-top:794.70000000000005pt;width:56.899999999999999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0"/>
                        <w:sz w:val="24"/>
                        <w:szCs w:val="24"/>
                        <w:lang w:val="ru-RU" w:eastAsia="ru-RU"/>
                      </w:rPr>
                      <w:t>2026-24163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3885565</wp:posOffset>
              </wp:positionH>
              <wp:positionV relativeFrom="page">
                <wp:posOffset>457835</wp:posOffset>
              </wp:positionV>
              <wp:extent cx="152400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5.94999999999999pt;margin-top:36.050000000000004pt;width:12.pt;height:9.5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457835</wp:posOffset>
              </wp:positionV>
              <wp:extent cx="152400" cy="12192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6.10000000000002pt;margin-top:36.050000000000004pt;width:12.pt;height:9.59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3885565</wp:posOffset>
              </wp:positionH>
              <wp:positionV relativeFrom="page">
                <wp:posOffset>457835</wp:posOffset>
              </wp:positionV>
              <wp:extent cx="152400" cy="12192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5.94999999999999pt;margin-top:36.050000000000004pt;width:12.pt;height:9.59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457835</wp:posOffset>
              </wp:positionV>
              <wp:extent cx="152400" cy="12192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6.10000000000002pt;margin-top:36.050000000000004pt;width:12.pt;height:9.5999999999999996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3885565</wp:posOffset>
              </wp:positionH>
              <wp:positionV relativeFrom="page">
                <wp:posOffset>457835</wp:posOffset>
              </wp:positionV>
              <wp:extent cx="152400" cy="12192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0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05.94999999999999pt;margin-top:36.050000000000004pt;width:12.pt;height:9.5999999999999996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0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Header or footer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Body text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Header or footer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40" w:line="26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image" Target="media/image3.jpeg"/><Relationship Id="rId22" Type="http://schemas.openxmlformats.org/officeDocument/2006/relationships/image" Target="media/image3.jpeg" TargetMode="Externa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Relationship Id="rId25" Type="http://schemas.openxmlformats.org/officeDocument/2006/relationships/image" Target="media/image5.jpeg"/><Relationship Id="rId26" Type="http://schemas.openxmlformats.org/officeDocument/2006/relationships/image" Target="media/image5.jpeg" TargetMode="External"/></Relationships>
</file>