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1982470</wp:posOffset>
                </wp:positionH>
                <wp:positionV relativeFrom="paragraph">
                  <wp:posOffset>2060575</wp:posOffset>
                </wp:positionV>
                <wp:extent cx="146050" cy="15240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0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color w:val="4B618F"/>
                              </w:rPr>
                              <w:t>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56.09999999999999pt;margin-top:162.25pt;width:11.5pt;height:1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color w:val="4B618F"/>
                        </w:rPr>
                        <w:t>от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3723005</wp:posOffset>
            </wp:positionH>
            <wp:positionV relativeFrom="paragraph">
              <wp:posOffset>12700</wp:posOffset>
            </wp:positionV>
            <wp:extent cx="524510" cy="62801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280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color w:val="4361A2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ул. Ленина, 40, г. Майкоп, 385000</w:t>
        <w:br/>
        <w:t>тел. (8772) 57-05-22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6"/>
          <w:lang w:val="en-US" w:eastAsia="en-US"/>
        </w:rPr>
        <w:t>to01@fas.gov.ru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280" w:line="240" w:lineRule="auto"/>
        <w:ind w:left="0" w:right="0" w:firstLine="0"/>
        <w:jc w:val="left"/>
        <w:rPr>
          <w:sz w:val="30"/>
          <w:szCs w:val="30"/>
        </w:rPr>
      </w:pPr>
      <w:r>
        <w:rPr>
          <w:rStyle w:val="CharStyle12"/>
          <w:sz w:val="30"/>
          <w:szCs w:val="3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  <w:sz w:val="30"/>
          <w:szCs w:val="30"/>
        </w:rPr>
        <w:t>1.05.2026</w:t>
        <w:tab/>
      </w:r>
      <w:r>
        <w:fldChar w:fldCharType="end"/>
      </w:r>
      <w:r>
        <w:rPr>
          <w:rStyle w:val="CharStyle12"/>
          <w:sz w:val="30"/>
          <w:szCs w:val="30"/>
        </w:rPr>
        <w:t>№ АЖ/1079/26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color w:val="4B618F"/>
        </w:rPr>
        <w:t>На№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color w:val="4361A2"/>
          <w:sz w:val="17"/>
          <w:szCs w:val="17"/>
        </w:rPr>
        <w:t>МОНОПОЛИЕМ ПЭППУЕКЮРЭ</w:t>
        <w:br/>
        <w:t>ФЕДЕРАЛЬНЭ КЪУЛЫКЪУР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  <w:b/>
          <w:bCs/>
        </w:rPr>
        <w:t>Монополием пэшТуек1орэ</w:t>
        <w:br/>
        <w:t>Федеральнэ къулыкъум</w:t>
        <w:br/>
        <w:t>Адыгэ РеспублкэмкТэ и</w:t>
        <w:br/>
        <w:t>ГъэТорышТап!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Лениным иур.. 40, къ. Мыекъуапэ, 385000</w:t>
        <w:br/>
        <w:t>тел./факс: (8772) 57-05-22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1840" w:right="0" w:firstLine="0"/>
        <w:jc w:val="left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6"/>
          <w:lang w:val="en-US" w:eastAsia="en-US"/>
        </w:rPr>
        <w:t>to01@fas.gov.ru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452" w:right="1583" w:bottom="746" w:left="1111" w:header="0" w:footer="3" w:gutter="0"/>
          <w:pgNumType w:start="1"/>
          <w:cols w:num="2" w:space="689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ООО «АРКМЕД» </w:t>
      </w:r>
      <w:r>
        <w:fldChar w:fldCharType="begin"/>
      </w:r>
      <w:r>
        <w:rPr/>
        <w:instrText> HYPERLINK "mailto:arkhaylov@gmail.com" </w:instrText>
      </w:r>
      <w:r>
        <w:fldChar w:fldCharType="separate"/>
      </w:r>
      <w:r>
        <w:rPr>
          <w:rStyle w:val="CharStyle12"/>
          <w:lang w:val="en-US" w:eastAsia="en-US"/>
        </w:rPr>
        <w:t>arkhaylov@gmail.com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2"/>
        </w:rPr>
        <w:t>ГБУЗ РА «Тахтамукайская ЦРБ»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020" w:right="0" w:firstLine="0"/>
        <w:jc w:val="both"/>
      </w:pPr>
      <w:r>
        <w:fldChar w:fldCharType="begin"/>
      </w:r>
      <w:r>
        <w:rPr/>
        <w:instrText> HYPERLINK "mailto:taxt-zakupki@mail.ru" </w:instrText>
      </w:r>
      <w:r>
        <w:fldChar w:fldCharType="separate"/>
      </w:r>
      <w:r>
        <w:rPr>
          <w:rStyle w:val="CharStyle12"/>
          <w:lang w:val="en-US" w:eastAsia="en-US"/>
        </w:rPr>
        <w:t>taxt-zakupki@mail.ru</w:t>
      </w:r>
      <w:r>
        <w:fldChar w:fldCharType="end"/>
      </w:r>
      <w:r>
        <w:rPr>
          <w:rStyle w:val="CharStyle12"/>
          <w:lang w:val="en-US" w:eastAsia="en-US"/>
        </w:rPr>
        <w:t xml:space="preserve">; </w:t>
      </w:r>
      <w:r>
        <w:fldChar w:fldCharType="begin"/>
      </w:r>
      <w:r>
        <w:rPr/>
        <w:instrText> HYPERLINK "mailto:buh123123@mail.ru" </w:instrText>
      </w:r>
      <w:r>
        <w:fldChar w:fldCharType="separate"/>
      </w:r>
      <w:r>
        <w:rPr>
          <w:rStyle w:val="CharStyle12"/>
          <w:lang w:val="en-US" w:eastAsia="en-US"/>
        </w:rPr>
        <w:t>buh123123@mail.ru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86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 xml:space="preserve">по делу </w:t>
      </w:r>
      <w:r>
        <w:rPr>
          <w:rStyle w:val="CharStyle12"/>
          <w:lang w:val="en-US" w:eastAsia="en-US"/>
        </w:rPr>
        <w:t>№001/06/105-200/2026</w:t>
        <w:br/>
      </w:r>
      <w:r>
        <w:rPr>
          <w:rStyle w:val="CharStyle12"/>
        </w:rPr>
        <w:t>об итогах рассмотрения жалобы</w:t>
        <w:br/>
      </w:r>
      <w:r>
        <w:rPr>
          <w:rStyle w:val="CharStyle12"/>
          <w:lang w:val="en-US" w:eastAsia="en-US"/>
        </w:rPr>
        <w:t>21.05.2026</w:t>
        <w:tab/>
      </w:r>
      <w:r>
        <w:rPr>
          <w:rStyle w:val="CharStyle12"/>
        </w:rPr>
        <w:t>г. Майкоп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Резолютивная часть оглашена: </w:t>
      </w:r>
      <w:r>
        <w:rPr>
          <w:rStyle w:val="CharStyle12"/>
          <w:lang w:val="en-US" w:eastAsia="en-US"/>
        </w:rPr>
        <w:t>18.05.2026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Республике Адыгея по контролю в сфере закупок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Комиссия УФАС) в составе: председателя Комиссии УФАС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Жукова А.Г., заместителя руководителя; членов Комиссии УФАС: Блягоза Р.Х., начальника отдела контроля закупок, Клюкиной Н.А., главного специалиста-эксперта отдела контроля закупок, рассмотрев жалобу ООО «АРКМЕД»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Заявитель) на положения извещения запроса котировок в электронной форме </w:t>
      </w:r>
      <w:r>
        <w:rPr>
          <w:rStyle w:val="CharStyle12"/>
          <w:lang w:val="en-US" w:eastAsia="en-US"/>
        </w:rPr>
        <w:t xml:space="preserve">№0376300006626000058 </w:t>
      </w:r>
      <w:r>
        <w:rPr>
          <w:rStyle w:val="CharStyle12"/>
        </w:rPr>
        <w:t xml:space="preserve">на поставку медицинских изделий (Стерилизатор плазменный) (национальный проект «Семья»)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Запрос котировок, Извещение), проведя внеплановую проверку на основании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УСТАНОВИЛА: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7"/>
        </w:rPr>
        <w:t xml:space="preserve">В Управление Федеральной антимонопольной службы по Республике Адыгея </w:t>
      </w:r>
      <w:r>
        <w:rPr>
          <w:rStyle w:val="CharStyle17"/>
          <w:lang w:val="en-US" w:eastAsia="en-US"/>
        </w:rPr>
        <w:t xml:space="preserve">08.05.2026 </w:t>
      </w:r>
      <w:r>
        <w:rPr>
          <w:rStyle w:val="CharStyle17"/>
        </w:rPr>
        <w:t>поступила жалоба Заявителя, в которой указано следующее:</w:t>
      </w:r>
      <w:bookmarkEnd w:id="0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17"/>
        </w:rPr>
        <w:t xml:space="preserve">«Во исполнение ст.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 xml:space="preserve">44-ФЗ Заказчиком установлено ограничение допуска товаров, происходящих из иностранных государств, в соответствии с Постановлением Правительства Российской Федерации </w:t>
      </w:r>
      <w:r>
        <w:rPr>
          <w:rStyle w:val="CharStyle17"/>
          <w:lang w:val="en-US" w:eastAsia="en-US"/>
        </w:rPr>
        <w:t xml:space="preserve">№ 1875, </w:t>
      </w:r>
      <w:r>
        <w:rPr>
          <w:rStyle w:val="CharStyle17"/>
        </w:rPr>
        <w:t xml:space="preserve">однако, нарушен пункт </w:t>
      </w:r>
      <w:r>
        <w:rPr>
          <w:rStyle w:val="CharStyle17"/>
          <w:lang w:val="en-US" w:eastAsia="en-US"/>
        </w:rPr>
        <w:t xml:space="preserve">1.1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Федерального закона </w:t>
      </w:r>
      <w:r>
        <w:rPr>
          <w:rStyle w:val="CharStyle17"/>
          <w:lang w:val="en-US" w:eastAsia="en-US"/>
        </w:rPr>
        <w:t xml:space="preserve">№ </w:t>
      </w:r>
      <w:r>
        <w:rPr>
          <w:rStyle w:val="CharStyle17"/>
        </w:rPr>
        <w:t xml:space="preserve">44-ФЗ, который гласит «При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настоящего Федерального закона запрет, ограничение или преимущество, указываются характеристики товара российского происхождения».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Анализ реестра российской промышленной продукции показывает, наличие трех моделей плазменных стерилизаторов российского происхождения,</w:t>
      </w:r>
    </w:p>
    <w:p>
      <w:pPr>
        <w:widowControl w:val="0"/>
        <w:spacing w:after="661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127000</wp:posOffset>
            </wp:positionV>
            <wp:extent cx="1511935" cy="2927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характеристики которых, тем не менее, не были учтены заказчиком при составлений описания объекта закупки.».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5" w:name="bookmark5"/>
      <w:r>
        <w:rPr>
          <w:rStyle w:val="CharStyle17"/>
        </w:rPr>
        <w:t xml:space="preserve">На основании вышеизложенного Заявитель просит: признать жалобу обоснованной и установить, что положения извещения </w:t>
      </w:r>
      <w:r>
        <w:rPr>
          <w:rStyle w:val="CharStyle17"/>
          <w:lang w:val="en-US" w:eastAsia="en-US"/>
        </w:rPr>
        <w:t xml:space="preserve">№0376200013326000090 </w:t>
      </w:r>
      <w:r>
        <w:rPr>
          <w:rStyle w:val="CharStyle17"/>
        </w:rPr>
        <w:t>включая описание объекта закупки, нарушают требования Закона о контрактной системе; выдать предписание об устранении выявленных нарушений; приостановить определение поставщика до рассмотрения жалобы по существу; провести внеплановую проверку закупки в пределах полномочий антимонопольного органа в связи с доводами настоящей жалобы; истребовать у оператора электронной площадки заявки участников закупки и исследовать в ходе заседания комиссии сведения о предложенном к поставке товаре, его характеристиках и регистрационных удостоверениях.</w:t>
      </w:r>
      <w:bookmarkEnd w:id="5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7" w:name="bookmark7"/>
      <w:r>
        <w:rPr>
          <w:rStyle w:val="CharStyle17"/>
        </w:rPr>
        <w:t>Также в составе жалобы Заявитель ходатайствует об участии в рассмотрении жалобы посредством видеоконференции.</w:t>
      </w:r>
      <w:bookmarkEnd w:id="7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9" w:name="bookmark9"/>
      <w:r>
        <w:rPr>
          <w:rStyle w:val="CharStyle17"/>
        </w:rPr>
        <w:t>Заявленное ходатайство удовлетворено.</w:t>
      </w:r>
      <w:bookmarkEnd w:id="9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1" w:name="bookmark11"/>
      <w:r>
        <w:rPr>
          <w:rStyle w:val="CharStyle17"/>
        </w:rPr>
        <w:t>Также в составе жалобы Заявитель ходатайствует о направлении в его адрес возражения Заказчика.</w:t>
      </w:r>
      <w:bookmarkEnd w:id="11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3" w:name="bookmark13"/>
      <w:r>
        <w:rPr>
          <w:rStyle w:val="CharStyle17"/>
        </w:rPr>
        <w:t>Заявленное ходатайство удовлетворено.</w:t>
      </w:r>
      <w:bookmarkEnd w:id="13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5" w:name="bookmark15"/>
      <w:r>
        <w:rPr>
          <w:rStyle w:val="CharStyle17"/>
        </w:rPr>
        <w:t xml:space="preserve">ГБУЗ РА «Тахтамукайская центральная районная больница»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Заказчик) с исх. </w:t>
      </w:r>
      <w:r>
        <w:rPr>
          <w:rStyle w:val="CharStyle17"/>
          <w:lang w:val="en-US" w:eastAsia="en-US"/>
        </w:rPr>
        <w:t xml:space="preserve">№01-475-26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14.05.2026 </w:t>
      </w:r>
      <w:r>
        <w:rPr>
          <w:rStyle w:val="CharStyle17"/>
        </w:rPr>
        <w:t>представлено возражение на жалобу, в котором указано следующее:</w:t>
      </w:r>
      <w:bookmarkEnd w:id="15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7" w:name="bookmark17"/>
      <w:r>
        <w:rPr>
          <w:rStyle w:val="CharStyle17"/>
        </w:rPr>
        <w:t>«Выбранные Заказчиком значения характеристик обусловлены реальными клиническими, инфраструктурными и эксплуатационными условиями ГБУЗ РА «Тахтамукайская ЦРБ»:</w:t>
      </w:r>
      <w:bookmarkEnd w:id="17"/>
    </w:p>
    <w:p>
      <w:pPr>
        <w:pStyle w:val="Style1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/>
        <w:jc w:val="both"/>
      </w:pPr>
      <w:bookmarkStart w:id="19" w:name="bookmark19"/>
      <w:r>
        <w:rPr>
          <w:rStyle w:val="CharStyle17"/>
        </w:rPr>
        <w:t xml:space="preserve">Полезный объём камеры </w:t>
      </w:r>
      <w:r>
        <w:rPr>
          <w:rStyle w:val="CharStyle17"/>
          <w:lang w:val="en-US" w:eastAsia="en-US"/>
        </w:rPr>
        <w:t xml:space="preserve">93–130 </w:t>
      </w:r>
      <w:r>
        <w:rPr>
          <w:rStyle w:val="CharStyle17"/>
        </w:rPr>
        <w:t xml:space="preserve">л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выбран исходя из расчётной нагрузки централизованного стерилизационного отделения (ЦСО) и фактической номенклатуры стерилизуемых изделий. Нижняя граница диапазона </w:t>
      </w:r>
      <w:r>
        <w:rPr>
          <w:rStyle w:val="CharStyle17"/>
          <w:lang w:val="en-US" w:eastAsia="en-US"/>
        </w:rPr>
        <w:t xml:space="preserve">(≥ 93 </w:t>
      </w:r>
      <w:r>
        <w:rPr>
          <w:rStyle w:val="CharStyle17"/>
        </w:rPr>
        <w:t xml:space="preserve">л) обеспечивает возможность одновременной стерилизации крупногабаритных эндоскопических, оптических и хирургических инструментов; верхняя граница </w:t>
      </w:r>
      <w:r>
        <w:rPr>
          <w:rStyle w:val="CharStyle17"/>
          <w:lang w:val="en-US" w:eastAsia="en-US"/>
        </w:rPr>
        <w:t xml:space="preserve">(≤ 130 </w:t>
      </w:r>
      <w:r>
        <w:rPr>
          <w:rStyle w:val="CharStyle17"/>
        </w:rPr>
        <w:t>л) ограничена габаритами помещения и характеристиками подведённой электрической сети (см. ниже).</w:t>
      </w:r>
      <w:bookmarkEnd w:id="19"/>
    </w:p>
    <w:p>
      <w:pPr>
        <w:pStyle w:val="Style1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/>
        <w:jc w:val="both"/>
      </w:pPr>
      <w:bookmarkStart w:id="21" w:name="bookmark21"/>
      <w:r>
        <w:rPr>
          <w:rStyle w:val="CharStyle17"/>
        </w:rPr>
        <w:t xml:space="preserve">Тип «непроходной»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обусловлен размещением стерилизатора в условиях существующего ЦСО, не имеющего «грязной» и «чистой» зон, разделённых стеной. Проходные стерилизаторы конструктивно требуют двух зон с раздельным доступом, что в действующих помещениях Заказчика технически невозможно без капитальной реконструкции, не предусмотренной планом развития учреждения и бюджетом настоящей закупки.</w:t>
      </w:r>
      <w:bookmarkEnd w:id="21"/>
    </w:p>
    <w:p>
      <w:pPr>
        <w:pStyle w:val="Style1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/>
        <w:jc w:val="both"/>
      </w:pPr>
      <w:bookmarkStart w:id="23" w:name="bookmark23"/>
      <w:r>
        <w:rPr>
          <w:rStyle w:val="CharStyle17"/>
        </w:rPr>
        <w:t xml:space="preserve">Однофазная сеть электропитания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обусловлено инфраструктурным ограничением: к месту установки оборудования подведена однофазная сеть электропитания </w:t>
      </w:r>
      <w:r>
        <w:rPr>
          <w:rStyle w:val="CharStyle17"/>
          <w:lang w:val="en-US" w:eastAsia="en-US"/>
        </w:rPr>
        <w:t xml:space="preserve">220 </w:t>
      </w:r>
      <w:r>
        <w:rPr>
          <w:rStyle w:val="CharStyle17"/>
        </w:rPr>
        <w:t xml:space="preserve">В. Подведение трёхфазной линии </w:t>
      </w:r>
      <w:r>
        <w:rPr>
          <w:rStyle w:val="CharStyle17"/>
          <w:lang w:val="en-US" w:eastAsia="en-US"/>
        </w:rPr>
        <w:t xml:space="preserve">(380 </w:t>
      </w:r>
      <w:r>
        <w:rPr>
          <w:rStyle w:val="CharStyle17"/>
        </w:rPr>
        <w:t>В) потребовало бы реконструкции электроснабжения здания, не предусмотренной бюджетом и сроками настоящей закупки.</w:t>
      </w:r>
      <w:bookmarkEnd w:id="23"/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Форма хранения агента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кассета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является принципиальным требованием безопасности эксплуатации и качества стерилизационного процесса.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Кассетная (картриджная) форма хранения стерилизующего агента обеспечивает: стабильность концентрации пероксида водорода в течение всего срока хранения за счёт герметичной заводской упаковки; невозможность пролива агента и контакта персонала с концентрированным пероксидом водорода </w:t>
      </w:r>
      <w:r>
        <w:rPr>
          <w:rStyle w:val="CharStyle12"/>
          <w:lang w:val="en-US" w:eastAsia="en-US"/>
        </w:rPr>
        <w:t xml:space="preserve">(≥ 50 %), </w:t>
      </w:r>
      <w:r>
        <w:rPr>
          <w:rStyle w:val="CharStyle12"/>
        </w:rPr>
        <w:t xml:space="preserve">являющимся опасным химическим веществом </w:t>
      </w:r>
      <w:r>
        <w:rPr>
          <w:rStyle w:val="CharStyle12"/>
          <w:lang w:val="en-US" w:eastAsia="en-US"/>
        </w:rPr>
        <w:t xml:space="preserve">II </w:t>
      </w:r>
      <w:r>
        <w:rPr>
          <w:rStyle w:val="CharStyle12"/>
        </w:rPr>
        <w:t>класса опасности; автоматический учёт количества циклов и контроль остатка агента системой стерилизатора; отсутствие необходимости ручных манипуляций оператора с открытыми ёмкостями. Флаконная форма хранения, напротив, предполагает заправку агента вручную, что повышает риск ошибки оператора, экспозиции персонала к опасному агенту и снижает стабильность концентрации действующего вещества.</w:t>
      </w:r>
    </w:p>
    <w:p>
      <w:pPr>
        <w:pStyle w:val="Style1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/>
        <w:jc w:val="both"/>
      </w:pPr>
      <w:bookmarkStart w:id="26" w:name="bookmark26"/>
      <w:r>
        <w:rPr>
          <w:rStyle w:val="CharStyle17"/>
        </w:rPr>
        <w:t xml:space="preserve">Слайдовые двери и автоматический способ закрытия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обусловлены требованиями эргономики и безопасной эксплуатации в условиях ограниченного пространства ЦСО: слайдовые двери не требуют свободной зоны перед стерилизатором, в отличие от распашных, и позволяют рационально использовать рабочее пространство.</w:t>
      </w:r>
      <w:bookmarkEnd w:id="26"/>
    </w:p>
    <w:p>
      <w:pPr>
        <w:pStyle w:val="Style1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/>
        <w:jc w:val="both"/>
      </w:pPr>
      <w:bookmarkStart w:id="28" w:name="bookmark28"/>
      <w:r>
        <w:rPr>
          <w:rStyle w:val="CharStyle17"/>
        </w:rPr>
        <w:t xml:space="preserve">Горизонтальный способ загрузки и наличие полок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обусловлен номенклатурой стерилизуемых изделий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преимущественно длинномерных инструментов и оптических систем, требующих равномерной горизонтальной укладки на полки.</w:t>
      </w:r>
      <w:bookmarkEnd w:id="28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1" w:name="bookmark31"/>
      <w:r>
        <w:rPr>
          <w:rStyle w:val="CharStyle17"/>
        </w:rPr>
        <w:t>На основании вышеизложенного Заказчик просит признать жалобу Заявителя необоснованной.</w:t>
      </w:r>
      <w:bookmarkEnd w:id="31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4" w:name="bookmark34"/>
      <w:r>
        <w:rPr>
          <w:rStyle w:val="CharStyle17"/>
        </w:rPr>
        <w:t xml:space="preserve">Кроме того, Заказчиком с исх. </w:t>
      </w:r>
      <w:r>
        <w:rPr>
          <w:rStyle w:val="CharStyle17"/>
          <w:lang w:val="en-US" w:eastAsia="en-US"/>
        </w:rPr>
        <w:t xml:space="preserve">№01-487-26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15.05.2026 </w:t>
      </w:r>
      <w:r>
        <w:rPr>
          <w:rStyle w:val="CharStyle17"/>
        </w:rPr>
        <w:t xml:space="preserve">представлено дополнение к возражению, в котором содержится информация о наличии не менее двух производителей, товары которых подходят под характеристики КТРУ </w:t>
      </w:r>
      <w:r>
        <w:rPr>
          <w:rStyle w:val="CharStyle17"/>
          <w:lang w:val="en-US" w:eastAsia="en-US"/>
        </w:rPr>
        <w:t xml:space="preserve">32.50.12.190-00000048 </w:t>
      </w:r>
      <w:r>
        <w:rPr>
          <w:rStyle w:val="CharStyle17"/>
        </w:rPr>
        <w:t>«Стерилизатор плазменный».</w:t>
      </w:r>
      <w:bookmarkEnd w:id="34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7" w:name="bookmark37"/>
      <w:r>
        <w:rPr>
          <w:rStyle w:val="CharStyle17"/>
        </w:rPr>
        <w:t>В результате рассмотрения жалобы и проведения внеплановой проверки Комиссия УФАС установила следующее.</w:t>
      </w:r>
      <w:bookmarkEnd w:id="37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Заказчиком на официальном сайте единой информационной системы в сфере закупок </w:t>
      </w:r>
      <w:r>
        <w:rPr>
          <w:rStyle w:val="CharStyle12"/>
          <w:lang w:val="en-US" w:eastAsia="en-US"/>
        </w:rPr>
        <w:t>zakupki.gov.ru</w:t>
      </w:r>
      <w:r>
        <w:rPr>
          <w:rStyle w:val="CharStyle12"/>
          <w:lang w:val="en-US" w:eastAsia="en-US"/>
        </w:rPr>
        <w:t xml:space="preserve">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ЕИС) </w:t>
      </w:r>
      <w:r>
        <w:rPr>
          <w:rStyle w:val="CharStyle12"/>
          <w:lang w:val="en-US" w:eastAsia="en-US"/>
        </w:rPr>
        <w:t xml:space="preserve">03.05.2026 </w:t>
      </w:r>
      <w:r>
        <w:rPr>
          <w:rStyle w:val="CharStyle12"/>
        </w:rPr>
        <w:t>размещено Извещение.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Начальная (максимальная) цена контракта </w:t>
      </w:r>
      <w:r>
        <w:rPr>
          <w:rStyle w:val="CharStyle12"/>
          <w:lang w:val="en-US" w:eastAsia="en-US"/>
        </w:rPr>
        <w:t xml:space="preserve">– 8 487 000,00 </w:t>
      </w:r>
      <w:r>
        <w:rPr>
          <w:rStyle w:val="CharStyle12"/>
        </w:rPr>
        <w:t>рублей.</w:t>
      </w:r>
    </w:p>
    <w:p>
      <w:pPr>
        <w:pStyle w:val="Style16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024" w:val="left"/>
        </w:tabs>
        <w:bidi w:val="0"/>
        <w:spacing w:before="0" w:after="0" w:line="240" w:lineRule="auto"/>
        <w:ind w:left="0" w:right="0"/>
        <w:jc w:val="both"/>
      </w:pPr>
      <w:bookmarkStart w:id="42" w:name="bookmark42"/>
      <w:r>
        <w:rPr>
          <w:rStyle w:val="CharStyle17"/>
          <w:lang w:val="en-US" w:eastAsia="en-US"/>
        </w:rPr>
        <w:t xml:space="preserve">. </w:t>
      </w:r>
      <w:r>
        <w:rPr>
          <w:rStyle w:val="CharStyle17"/>
        </w:rPr>
        <w:t xml:space="preserve">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системе.</w:t>
      </w:r>
      <w:bookmarkEnd w:id="42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5" w:name="bookmark45"/>
      <w:r>
        <w:rPr>
          <w:rStyle w:val="CharStyle17"/>
        </w:rPr>
        <w:t xml:space="preserve">Согласно части </w:t>
      </w:r>
      <w:r>
        <w:rPr>
          <w:rStyle w:val="CharStyle17"/>
          <w:lang w:val="en-US" w:eastAsia="en-US"/>
        </w:rPr>
        <w:t xml:space="preserve">1.1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Закона о контрактной системе запрет, ограничение или преимущество, указываются характеристики товара российского происхождения.</w:t>
      </w:r>
      <w:bookmarkEnd w:id="45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Абзацем четвертым подпункта «а» пункта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Постановления Правительства Российской Федерации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юридических лиц»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№1875) </w:t>
      </w:r>
      <w:r>
        <w:rPr>
          <w:rStyle w:val="CharStyle12"/>
        </w:rPr>
        <w:t xml:space="preserve">установлено, что, при осуществлении закупки товаров, указанных в 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предусмотрено 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Реестр), а также включение в описание объекта закупки копии направленного до начала осуществления закупки в Минпромторг России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</w:t>
      </w:r>
      <w:r>
        <w:rPr>
          <w:rStyle w:val="CharStyle12"/>
          <w:lang w:val="en-US" w:eastAsia="en-US"/>
        </w:rPr>
        <w:t xml:space="preserve">034-2014 </w:t>
      </w:r>
      <w:r>
        <w:rPr>
          <w:rStyle w:val="CharStyle12"/>
        </w:rPr>
        <w:t xml:space="preserve">(КПЕС </w:t>
      </w:r>
      <w:r>
        <w:rPr>
          <w:rStyle w:val="CharStyle12"/>
          <w:lang w:val="en-US" w:eastAsia="en-US"/>
        </w:rPr>
        <w:t xml:space="preserve">2008), </w:t>
      </w:r>
      <w:r>
        <w:rPr>
          <w:rStyle w:val="CharStyle12"/>
        </w:rPr>
        <w:t>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9" w:name="bookmark49"/>
      <w:r>
        <w:rPr>
          <w:rStyle w:val="CharStyle17"/>
        </w:rPr>
        <w:t xml:space="preserve">Комиссией УФАС установлено, что товар «Стерилизатор плазменный» включен в приложение </w:t>
      </w:r>
      <w:r>
        <w:rPr>
          <w:rStyle w:val="CharStyle17"/>
          <w:lang w:val="en-US" w:eastAsia="en-US"/>
        </w:rPr>
        <w:t xml:space="preserve">№2 </w:t>
      </w:r>
      <w:r>
        <w:rPr>
          <w:rStyle w:val="CharStyle17"/>
        </w:rPr>
        <w:t xml:space="preserve">к Постановлению </w:t>
      </w:r>
      <w:r>
        <w:rPr>
          <w:rStyle w:val="CharStyle17"/>
          <w:lang w:val="en-US" w:eastAsia="en-US"/>
        </w:rPr>
        <w:t>№1875.</w:t>
      </w:r>
      <w:bookmarkEnd w:id="49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51" w:name="bookmark51"/>
      <w:r>
        <w:rPr>
          <w:rStyle w:val="CharStyle17"/>
        </w:rPr>
        <w:t>Заказчик представил сведения, согласно которым на товарном рынке имеется как минимум два товара разных производителей:</w:t>
      </w:r>
      <w:bookmarkEnd w:id="51"/>
    </w:p>
    <w:p>
      <w:pPr>
        <w:pStyle w:val="Style16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/>
        <w:jc w:val="both"/>
      </w:pPr>
      <w:bookmarkStart w:id="53" w:name="bookmark53"/>
      <w:r>
        <w:rPr>
          <w:rStyle w:val="CharStyle17"/>
        </w:rPr>
        <w:t xml:space="preserve">Стерилизатор плазменный «БАЛТСТЕР® </w:t>
      </w:r>
      <w:r>
        <w:rPr>
          <w:rStyle w:val="CharStyle17"/>
          <w:lang w:val="en-US" w:eastAsia="en-US"/>
        </w:rPr>
        <w:t xml:space="preserve">- 4», </w:t>
      </w:r>
      <w:r>
        <w:rPr>
          <w:rStyle w:val="CharStyle17"/>
        </w:rPr>
        <w:t xml:space="preserve">РУ №РЗН </w:t>
      </w:r>
      <w:r>
        <w:rPr>
          <w:rStyle w:val="CharStyle17"/>
          <w:lang w:val="en-US" w:eastAsia="en-US"/>
        </w:rPr>
        <w:t xml:space="preserve">2024/22835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04.06.2024, </w:t>
      </w:r>
      <w:r>
        <w:rPr>
          <w:rStyle w:val="CharStyle17"/>
        </w:rPr>
        <w:t>Держатель РУ/Производитель АО "МЕДИТЕК "Знамя Труда", Российская Федерация;</w:t>
      </w:r>
      <w:bookmarkEnd w:id="53"/>
    </w:p>
    <w:p>
      <w:pPr>
        <w:pStyle w:val="Style16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/>
        <w:jc w:val="both"/>
      </w:pPr>
      <w:bookmarkStart w:id="55" w:name="bookmark55"/>
      <w:r>
        <w:rPr>
          <w:rStyle w:val="CharStyle17"/>
        </w:rPr>
        <w:t xml:space="preserve">Стерилизатор плазменный низкотемпературный </w:t>
      </w:r>
      <w:r>
        <w:rPr>
          <w:rStyle w:val="CharStyle17"/>
          <w:lang w:val="en-US" w:eastAsia="en-US"/>
        </w:rPr>
        <w:t xml:space="preserve">LK/MJG-100, </w:t>
      </w:r>
      <w:r>
        <w:rPr>
          <w:rStyle w:val="CharStyle17"/>
        </w:rPr>
        <w:t xml:space="preserve">РУ №ФСЗ </w:t>
      </w:r>
      <w:r>
        <w:rPr>
          <w:rStyle w:val="CharStyle17"/>
          <w:lang w:val="en-US" w:eastAsia="en-US"/>
        </w:rPr>
        <w:t xml:space="preserve">2010/06566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13.01.2020, </w:t>
      </w:r>
      <w:r>
        <w:rPr>
          <w:rStyle w:val="CharStyle17"/>
        </w:rPr>
        <w:t>Держатель РУ ООО "МК ВИТА-ПУЛ", Россия, Производитель: "Лаокен Медикал Технолоджи Ко., Лтд.", Китайская Народная Республика;</w:t>
      </w:r>
      <w:bookmarkEnd w:id="55"/>
    </w:p>
    <w:p>
      <w:pPr>
        <w:pStyle w:val="Style16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975" w:val="left"/>
        </w:tabs>
        <w:bidi w:val="0"/>
        <w:spacing w:before="0" w:after="0" w:line="240" w:lineRule="auto"/>
        <w:ind w:left="0" w:right="0"/>
        <w:jc w:val="both"/>
      </w:pPr>
      <w:bookmarkStart w:id="57" w:name="bookmark57"/>
      <w:r>
        <w:rPr>
          <w:rStyle w:val="CharStyle17"/>
        </w:rPr>
        <w:t xml:space="preserve">Низкотемпературный плазменный стерилизатор </w:t>
      </w:r>
      <w:r>
        <w:rPr>
          <w:rStyle w:val="CharStyle17"/>
          <w:lang w:val="en-US" w:eastAsia="en-US"/>
        </w:rPr>
        <w:t xml:space="preserve">HRF 3000, </w:t>
      </w:r>
      <w:r>
        <w:rPr>
          <w:rStyle w:val="CharStyle17"/>
        </w:rPr>
        <w:t xml:space="preserve">модель </w:t>
      </w:r>
      <w:r>
        <w:rPr>
          <w:rStyle w:val="CharStyle17"/>
          <w:lang w:val="en-US" w:eastAsia="en-US"/>
        </w:rPr>
        <w:t xml:space="preserve">S75, </w:t>
      </w:r>
      <w:r>
        <w:rPr>
          <w:rStyle w:val="CharStyle17"/>
        </w:rPr>
        <w:t xml:space="preserve">РУ №РЗН </w:t>
      </w:r>
      <w:r>
        <w:rPr>
          <w:rStyle w:val="CharStyle17"/>
          <w:lang w:val="en-US" w:eastAsia="en-US"/>
        </w:rPr>
        <w:t xml:space="preserve">2021/14306 </w:t>
      </w:r>
      <w:r>
        <w:rPr>
          <w:rStyle w:val="CharStyle17"/>
        </w:rPr>
        <w:t xml:space="preserve">с </w:t>
      </w:r>
      <w:r>
        <w:rPr>
          <w:rStyle w:val="CharStyle17"/>
          <w:lang w:val="en-US" w:eastAsia="en-US"/>
        </w:rPr>
        <w:t xml:space="preserve">22.04.2024, </w:t>
      </w:r>
      <w:r>
        <w:rPr>
          <w:rStyle w:val="CharStyle17"/>
        </w:rPr>
        <w:t>Держатель РУ ООО "ММ Рус", Россия, Производитель: "ТЕКНО МАР МАКИНА Ималат Итхалат Ихраджат Санайи ве Тиджарет Лимитед Ширкети", Турецкая Республика, характеристики товаров которых соответствуют требованиям описания объекта закупки Извещения.</w:t>
      </w:r>
      <w:bookmarkEnd w:id="57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59" w:name="bookmark59"/>
      <w:r>
        <w:rPr>
          <w:rStyle w:val="CharStyle17"/>
        </w:rPr>
        <w:t>Комиссией УФАС установлено, что в Реестре отсутствует Товар с характеристиками, соответствующими потребности Заказчика.</w:t>
      </w:r>
      <w:bookmarkEnd w:id="59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1" w:name="bookmark61"/>
      <w:r>
        <w:rPr>
          <w:rStyle w:val="CharStyle17"/>
        </w:rPr>
        <w:t>Вместе с тем, в Извещении отсутствует копия направленного до начала осуществления закупки в Минпромторг России уведомления об отсутствии закупаемого Товара в Реестре.</w:t>
      </w:r>
      <w:bookmarkEnd w:id="61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Учитывая изложенное, Комиссия УФАС приходит к выводу, что действия Заказчика, не включившего в описание объекта закупки копию направленного до начала осуществления закупки в Минпромторг России уведомления об отсутствии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закупаемого Товара в Реестре не соответствует требованиям части </w:t>
      </w:r>
      <w:r>
        <w:rPr>
          <w:rStyle w:val="CharStyle12"/>
          <w:lang w:val="en-US" w:eastAsia="en-US"/>
        </w:rPr>
        <w:t xml:space="preserve">1.1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о контрактной системе, нарушают </w:t>
      </w:r>
      <w:r>
        <w:rPr>
          <w:rStyle w:val="CharStyle12"/>
          <w:b/>
          <w:bCs/>
        </w:rPr>
        <w:t xml:space="preserve">пункт </w:t>
      </w:r>
      <w:r>
        <w:rPr>
          <w:rStyle w:val="CharStyle12"/>
          <w:b/>
          <w:bCs/>
          <w:lang w:val="en-US" w:eastAsia="en-US"/>
        </w:rPr>
        <w:t xml:space="preserve">1 </w:t>
      </w:r>
      <w:r>
        <w:rPr>
          <w:rStyle w:val="CharStyle12"/>
          <w:b/>
          <w:bCs/>
        </w:rPr>
        <w:t xml:space="preserve">части </w:t>
      </w:r>
      <w:r>
        <w:rPr>
          <w:rStyle w:val="CharStyle12"/>
          <w:b/>
          <w:bCs/>
          <w:lang w:val="en-US" w:eastAsia="en-US"/>
        </w:rPr>
        <w:t xml:space="preserve">2 </w:t>
      </w:r>
      <w:r>
        <w:rPr>
          <w:rStyle w:val="CharStyle12"/>
          <w:b/>
          <w:bCs/>
        </w:rPr>
        <w:t xml:space="preserve">статьи </w:t>
      </w:r>
      <w:r>
        <w:rPr>
          <w:rStyle w:val="CharStyle12"/>
          <w:b/>
          <w:bCs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и содержит признаки состава административного правонарушения, ответственность за совершение которого предусмотрена частью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7.30.1 </w:t>
      </w:r>
      <w:r>
        <w:rPr>
          <w:rStyle w:val="CharStyle12"/>
        </w:rPr>
        <w:t>КоАП, следовательно, жалоба является обоснованной.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4" w:name="bookmark64"/>
      <w:r>
        <w:rPr>
          <w:rStyle w:val="CharStyle17"/>
        </w:rPr>
        <w:t>Вместе с тем, исходя из сведений из протокола подведения итогов определения поставщика (подрядчика, исполнителя), согласно которому на участие в закупке подано две заявки, признанные соответствующими требованиям Извещения, Комиссия УФАС приходит к выводу о том, что выявленные нарушения не повлияли на результаты определения поставщика (подрядчика, исполнителя).</w:t>
      </w:r>
      <w:bookmarkEnd w:id="64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6" w:name="bookmark66"/>
      <w:r>
        <w:rPr>
          <w:rStyle w:val="CharStyle17"/>
        </w:rPr>
        <w:t xml:space="preserve">Руководствуясь статьями </w:t>
      </w:r>
      <w:r>
        <w:rPr>
          <w:rStyle w:val="CharStyle17"/>
          <w:lang w:val="en-US" w:eastAsia="en-US"/>
        </w:rPr>
        <w:t xml:space="preserve">99, 106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</w:t>
      </w:r>
      <w:r>
        <w:rPr>
          <w:rStyle w:val="CharStyle17"/>
        </w:rPr>
        <w:t>№44-ФЗ «О контрактной системе в сфере закупок товаров, работ, услуг для государственных и муниципальных нужд», Комиссия УФАС</w:t>
      </w:r>
      <w:bookmarkEnd w:id="66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Признать жалобу ООО «АРКМЕД»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Признать действиях Заказчика нарушение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Обязательное для исполнения предписание об устранении нарушений Закона о контрактной системе Заказчику не выдавать, поскольку выявленное нарушение не повлияло на результаты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Передать должностному лицу Адыгейского УФАС России материалы дела </w:t>
      </w:r>
      <w:r>
        <w:rPr>
          <w:rStyle w:val="CharStyle12"/>
          <w:lang w:val="en-US" w:eastAsia="en-US"/>
        </w:rPr>
        <w:t xml:space="preserve">№001/06/105-200/2026 </w:t>
      </w:r>
      <w:r>
        <w:rPr>
          <w:rStyle w:val="CharStyle12"/>
        </w:rPr>
        <w:t>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5" w:right="539" w:bottom="1016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3835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25625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26.pt;width:143.75pt;height:19.699999999999999pt;z-index:-125829372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1160" distB="0" distL="0" distR="1804670" simplePos="0" relativeHeight="125829383" behindDoc="0" locked="0" layoutInCell="1" allowOverlap="1">
            <wp:simplePos x="0" y="0"/>
            <wp:positionH relativeFrom="page">
              <wp:posOffset>3275330</wp:posOffset>
            </wp:positionH>
            <wp:positionV relativeFrom="paragraph">
              <wp:posOffset>391160</wp:posOffset>
            </wp:positionV>
            <wp:extent cx="347345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3705225</wp:posOffset>
                </wp:positionH>
                <wp:positionV relativeFrom="paragraph">
                  <wp:posOffset>488950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91.75pt;margin-top:38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3835" distL="0" distR="0" simplePos="0" relativeHeight="125829384" behindDoc="0" locked="0" layoutInCell="1" allowOverlap="1">
                <wp:simplePos x="0" y="0"/>
                <wp:positionH relativeFrom="page">
                  <wp:posOffset>6323330</wp:posOffset>
                </wp:positionH>
                <wp:positionV relativeFrom="paragraph">
                  <wp:posOffset>330200</wp:posOffset>
                </wp:positionV>
                <wp:extent cx="86233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А.Г. Жуков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7.90000000000003pt;margin-top:26.pt;width:67.900000000000006pt;height:19.699999999999999pt;z-index:-125829369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А.Г. Жуков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800" w:right="0" w:firstLine="0"/>
        <w:jc w:val="left"/>
        <w:rPr>
          <w:sz w:val="11"/>
          <w:szCs w:val="11"/>
        </w:rPr>
      </w:pPr>
      <w:r>
        <w:rPr>
          <w:rStyle w:val="CharStyle20"/>
          <w:color w:val="FFFFFF"/>
          <w:sz w:val="11"/>
          <w:szCs w:val="11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  <w:sz w:val="11"/>
          <w:szCs w:val="11"/>
        </w:rPr>
        <w:t>ЖУКОВ АЗАМАТ ГАСАНОВИЧ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4B9C8818528740555A2694AABD28237A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>Действителен с 21.05.2025 по 14.08.2026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68" w:right="546" w:bottom="159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2405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4112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7.pt;width:105.60000000000001pt;height:19.900000000000002pt;z-index:-125829367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635" distL="0" distR="1816735" simplePos="0" relativeHeight="125829388" behindDoc="0" locked="0" layoutInCell="1" allowOverlap="1">
            <wp:simplePos x="0" y="0"/>
            <wp:positionH relativeFrom="page">
              <wp:posOffset>3314700</wp:posOffset>
            </wp:positionH>
            <wp:positionV relativeFrom="paragraph">
              <wp:posOffset>189230</wp:posOffset>
            </wp:positionV>
            <wp:extent cx="298450" cy="34734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3704590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91.69999999999999pt;margin-top:19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2405" distL="0" distR="0" simplePos="0" relativeHeight="125829389" behindDoc="0" locked="0" layoutInCell="1" allowOverlap="1">
                <wp:simplePos x="0" y="0"/>
                <wp:positionH relativeFrom="page">
                  <wp:posOffset>6322695</wp:posOffset>
                </wp:positionH>
                <wp:positionV relativeFrom="paragraph">
                  <wp:posOffset>88900</wp:posOffset>
                </wp:positionV>
                <wp:extent cx="86233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Р.Х. Блягоз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97.85000000000002pt;margin-top:7.pt;width:67.900000000000006pt;height:19.900000000000002pt;z-index:-125829364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Р.Х. Блягоз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3284220</wp:posOffset>
            </wp:positionH>
            <wp:positionV relativeFrom="paragraph">
              <wp:posOffset>682625</wp:posOffset>
            </wp:positionV>
            <wp:extent cx="359410" cy="5181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3744595</wp:posOffset>
                </wp:positionH>
                <wp:positionV relativeFrom="paragraph">
                  <wp:posOffset>1085215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94.85000000000002pt;margin-top:85.45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3704590</wp:posOffset>
                </wp:positionH>
                <wp:positionV relativeFrom="paragraph">
                  <wp:posOffset>767715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91.69999999999999pt;margin-top:60.450000000000003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800" w:right="0" w:firstLine="0"/>
        <w:jc w:val="left"/>
        <w:rPr>
          <w:sz w:val="11"/>
          <w:szCs w:val="11"/>
        </w:rPr>
      </w:pPr>
      <w:r>
        <w:rPr>
          <w:rStyle w:val="CharStyle20"/>
          <w:color w:val="FFFFFF"/>
          <w:sz w:val="11"/>
          <w:szCs w:val="11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  <w:sz w:val="11"/>
          <w:szCs w:val="11"/>
        </w:rPr>
        <w:t>Блягоз Рамазан Хазретович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</w:rPr>
        <w:t>00А8363848АЕ8629В39ВВ1859061Е60А5В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0"/>
        </w:rPr>
        <w:t xml:space="preserve">Действителен с 30.04.2026 </w:t>
      </w:r>
      <w:r>
        <w:rPr>
          <w:rStyle w:val="CharStyle20"/>
          <w:color w:val="5F5F5F"/>
        </w:rPr>
        <w:t xml:space="preserve">по </w:t>
      </w:r>
      <w:r>
        <w:rPr>
          <w:rStyle w:val="CharStyle20"/>
        </w:rPr>
        <w:t>24.07.2027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rPr>
          <w:rStyle w:val="CharStyle12"/>
        </w:rPr>
        <w:t>Н.А. Клюкина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  <w:sz w:val="11"/>
          <w:szCs w:val="11"/>
        </w:rPr>
        <w:t>КЛЮКИНА НАТАЛЬЯ АЛЕКСАНДРОВНА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68C6EA25EAC373ADCFE5D67D96FA5798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0"/>
        </w:rPr>
        <w:t xml:space="preserve">Действителен с 09.06.2025 </w:t>
      </w:r>
      <w:r>
        <w:rPr>
          <w:rStyle w:val="CharStyle20"/>
          <w:color w:val="5F5F5F"/>
        </w:rPr>
        <w:t xml:space="preserve">по </w:t>
      </w:r>
      <w:r>
        <w:rPr>
          <w:rStyle w:val="CharStyle20"/>
        </w:rPr>
        <w:t>02.09.2026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68" w:right="546" w:bottom="126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10017760</wp:posOffset>
              </wp:positionV>
              <wp:extent cx="64897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2026-1148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100000000000001pt;margin-top:788.80000000000007pt;width:51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2026-1148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10211435</wp:posOffset>
              </wp:positionV>
              <wp:extent cx="648970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2026-1148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804.05000000000007pt;width:51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2026-1148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516890</wp:posOffset>
              </wp:positionV>
              <wp:extent cx="7302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35000000000002pt;margin-top:40.700000000000003pt;width:5.75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2"/>
      <w:sz w:val="19"/>
      <w:szCs w:val="19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18F"/>
      <w:sz w:val="16"/>
      <w:szCs w:val="16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Heading #1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2"/>
      <w:sz w:val="19"/>
      <w:szCs w:val="19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18F"/>
      <w:sz w:val="16"/>
      <w:szCs w:val="16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ind w:firstLine="7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4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