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21886/26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0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21886/26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ГБУЗ «ГКБ </w:t>
      </w:r>
      <w:r>
        <w:rPr>
          <w:rStyle w:val="CharStyle7"/>
          <w:lang w:val="en-US" w:eastAsia="en-US"/>
        </w:rPr>
        <w:t xml:space="preserve">№ 31 </w:t>
      </w:r>
      <w:r>
        <w:rPr>
          <w:rStyle w:val="CharStyle7"/>
        </w:rPr>
        <w:t>им. акад. Г.М. Савельевой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"mailto:LCDI-ogz31@zdrav.mos.ru" </w:instrText>
      </w:r>
      <w:r>
        <w:fldChar w:fldCharType="separate"/>
      </w:r>
      <w:r>
        <w:rPr>
          <w:rStyle w:val="CharStyle7"/>
          <w:lang w:val="en-US" w:eastAsia="en-US"/>
        </w:rPr>
        <w:t>LCDI-ogz31@zdrav.mos.ru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ООО «Медпартс»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140" w:right="0" w:firstLine="0"/>
        <w:jc w:val="left"/>
      </w:pPr>
      <w:r>
        <w:fldChar w:fldCharType="begin"/>
      </w:r>
      <w:r>
        <w:rPr/>
        <w:instrText> HYPERLINK "mailto:medparts@yahoo.com" </w:instrText>
      </w:r>
      <w:r>
        <w:fldChar w:fldCharType="separate"/>
      </w:r>
      <w:r>
        <w:rPr>
          <w:rStyle w:val="CharStyle7"/>
          <w:lang w:val="en-US" w:eastAsia="en-US"/>
        </w:rPr>
        <w:t>medparts@yahoo.com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077/06/105-6192/2026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18.05.2026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ГБУЗ «ГКБ </w:t>
      </w:r>
      <w:r>
        <w:rPr>
          <w:rStyle w:val="CharStyle7"/>
          <w:lang w:val="en-US" w:eastAsia="en-US"/>
        </w:rPr>
        <w:t xml:space="preserve">№ 31 </w:t>
      </w:r>
      <w:r>
        <w:rPr>
          <w:rStyle w:val="CharStyle7"/>
        </w:rPr>
        <w:t xml:space="preserve">им. акад. Г.М. Савельевой ДЗМ»: Ж.А. Карнауховой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>20.01.2026),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отсутствие представителей ООО «Медпартс»,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9104630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жалобы ООО «Медпартс»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«ГКБ </w:t>
      </w:r>
      <w:r>
        <w:rPr>
          <w:rStyle w:val="CharStyle7"/>
          <w:lang w:val="en-US" w:eastAsia="en-US"/>
        </w:rPr>
        <w:t xml:space="preserve">№ 31 </w:t>
      </w:r>
      <w:r>
        <w:rPr>
          <w:rStyle w:val="CharStyle7"/>
        </w:rPr>
        <w:t xml:space="preserve">им. акад. Г.М. Савельевой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запросов котировок в электронных формах на право заключения государственных контрактов на поставку медицинских изделий для гематологического анализатора </w:t>
      </w:r>
      <w:r>
        <w:rPr>
          <w:rStyle w:val="CharStyle7"/>
          <w:lang w:val="en-US" w:eastAsia="en-US"/>
        </w:rPr>
        <w:t xml:space="preserve">Mindray </w:t>
      </w:r>
      <w:r>
        <w:rPr>
          <w:rStyle w:val="CharStyle7"/>
        </w:rPr>
        <w:t xml:space="preserve">Лот </w:t>
      </w:r>
      <w:r>
        <w:rPr>
          <w:rStyle w:val="CharStyle7"/>
          <w:lang w:val="en-US" w:eastAsia="en-US"/>
        </w:rPr>
        <w:t xml:space="preserve">2, 3 </w:t>
      </w:r>
      <w:r>
        <w:rPr>
          <w:rStyle w:val="CharStyle7"/>
        </w:rPr>
        <w:t xml:space="preserve">для нужд ГБУЗ «ГКБ </w:t>
      </w:r>
      <w:r>
        <w:rPr>
          <w:rStyle w:val="CharStyle7"/>
          <w:lang w:val="en-US" w:eastAsia="en-US"/>
        </w:rPr>
        <w:t xml:space="preserve">№31 </w:t>
      </w:r>
      <w:r>
        <w:rPr>
          <w:rStyle w:val="CharStyle7"/>
        </w:rPr>
        <w:t xml:space="preserve">им. академика Г.М. Савельевой ДЗМ» (Закупки </w:t>
      </w:r>
      <w:r>
        <w:rPr>
          <w:rStyle w:val="CharStyle7"/>
          <w:lang w:val="en-US" w:eastAsia="en-US"/>
        </w:rPr>
        <w:t>№№ 0373200025626000303,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0373200025626000293)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запросы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Московское УФАС России поступили жалобы Заявителя на действия Заказчика при проведении вышеуказанных запросов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комиссия Заказчика), выразившиеся в неправомерном признании заявок Заявителя не соответствующими требованиям извещений об осуществлении закупок по результатам рассмотрения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протоколам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07.05.2026 </w:t>
      </w:r>
      <w:r>
        <w:rPr>
          <w:rStyle w:val="CharStyle7"/>
        </w:rPr>
        <w:t xml:space="preserve">№ИЗК1, </w:t>
      </w:r>
      <w:r>
        <w:rPr>
          <w:rStyle w:val="CharStyle7"/>
          <w:lang w:val="en-US" w:eastAsia="en-US"/>
        </w:rPr>
        <w:t xml:space="preserve">06.05.2026 </w:t>
      </w:r>
      <w:r>
        <w:rPr>
          <w:rStyle w:val="CharStyle7"/>
        </w:rPr>
        <w:t xml:space="preserve">№ИЗК2 заявки ООО «Медпартс» (идентификационные номера </w:t>
      </w:r>
      <w:r>
        <w:rPr>
          <w:rStyle w:val="CharStyle7"/>
          <w:lang w:val="en-US" w:eastAsia="en-US"/>
        </w:rPr>
        <w:t xml:space="preserve">3179227, 3175178) </w:t>
      </w:r>
      <w:r>
        <w:rPr>
          <w:rStyle w:val="CharStyle7"/>
        </w:rPr>
        <w:t xml:space="preserve">отклонены на следующем основании: </w:t>
      </w:r>
      <w:r>
        <w:rPr>
          <w:rStyle w:val="CharStyle7"/>
          <w:i/>
          <w:iCs/>
        </w:rPr>
        <w:t xml:space="preserve">«Отклонить заявку на участие в закупке по п.8 ч.12 ст.48 №44-ФЗ «Выявление недостоверной информации, содержащейся в заявке на участие в закупке» Участник закупки в заявке в структурированном виде предлагает к поставке медицинское изделие по позиции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«Реагент для лизиса клеток крови ДМ-68ЛН ЛАЙЗ ДЛЯ анализаторов автоматических гематологических по ТУ </w:t>
      </w:r>
      <w:r>
        <w:rPr>
          <w:rStyle w:val="CharStyle7"/>
          <w:i/>
          <w:iCs/>
          <w:lang w:val="en-US" w:eastAsia="en-US"/>
        </w:rPr>
        <w:t xml:space="preserve">20.59,52-002-66418557-2021, </w:t>
      </w:r>
      <w:r>
        <w:rPr>
          <w:rStyle w:val="CharStyle7"/>
          <w:i/>
          <w:iCs/>
        </w:rPr>
        <w:t xml:space="preserve">флакон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л» по регистрационному удостоверению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РЗН </w:t>
      </w:r>
      <w:r>
        <w:rPr>
          <w:rStyle w:val="CharStyle7"/>
          <w:i/>
          <w:iCs/>
          <w:lang w:val="en-US" w:eastAsia="en-US"/>
        </w:rPr>
        <w:t xml:space="preserve">2024/23163, </w:t>
      </w:r>
      <w:r>
        <w:rPr>
          <w:rStyle w:val="CharStyle7"/>
          <w:i/>
          <w:iCs/>
        </w:rPr>
        <w:t xml:space="preserve">производитель АО "СДС", Россия. В составе заявки по характеристики «Объем реагента» участник указывает значение </w:t>
      </w:r>
      <w:r>
        <w:rPr>
          <w:rStyle w:val="CharStyle7"/>
          <w:i/>
          <w:iCs/>
          <w:lang w:val="en-US" w:eastAsia="en-US"/>
        </w:rPr>
        <w:t xml:space="preserve">«4000 </w:t>
      </w:r>
      <w:r>
        <w:rPr>
          <w:rStyle w:val="CharStyle7"/>
          <w:i/>
          <w:iCs/>
        </w:rPr>
        <w:t xml:space="preserve">Кубический сантиметр; миллилитр», что соответствует допустимому значению. Однако, согласно информации сайта Росздравнадзора по регистрационному удостоверению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РЗН </w:t>
      </w:r>
      <w:r>
        <w:rPr>
          <w:rStyle w:val="CharStyle7"/>
          <w:i/>
          <w:iCs/>
          <w:lang w:val="en-US" w:eastAsia="en-US"/>
        </w:rPr>
        <w:t xml:space="preserve">2024/23163 </w:t>
      </w:r>
      <w:r>
        <w:rPr>
          <w:rStyle w:val="CharStyle7"/>
          <w:i/>
          <w:iCs/>
        </w:rPr>
        <w:t xml:space="preserve">на предложенные изделия АО "СДС" заявленного объема не зарегистрировано, согласно регистрационному удостоверению объем флакона составляет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>литр. Таким образом, в заявке Участника содержится недостоверная информация»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Заказчиком в описании объекта закупки установлены требования к товарам, в частности: «Объем реагента: </w:t>
      </w:r>
      <w:r>
        <w:rPr>
          <w:rStyle w:val="CharStyle7"/>
          <w:lang w:val="en-US" w:eastAsia="en-US"/>
        </w:rPr>
        <w:t xml:space="preserve">≥ 4000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5000 </w:t>
      </w:r>
      <w:r>
        <w:rPr>
          <w:rStyle w:val="CharStyle7"/>
        </w:rPr>
        <w:t>Кубический сантиметр; миллилитр».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 предложение по критериям, предусмотренным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Заказчиком в п.4 электронного документа «Требования к содержанию, составу заявки на участие в закупке» установлено, 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  <w:i/>
          <w:iCs/>
          <w:lang w:val="en-US" w:eastAsia="en-US"/>
        </w:rPr>
        <w:t xml:space="preserve">. </w:t>
      </w:r>
      <w:r>
        <w:rPr>
          <w:rStyle w:val="CharStyle7"/>
          <w:i/>
          <w:iCs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33 </w:t>
      </w:r>
      <w:r>
        <w:rPr>
          <w:rStyle w:val="CharStyle7"/>
          <w:i/>
          <w:iCs/>
        </w:rPr>
        <w:t>Закона о контрактной системе».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составе заявок Заявитель представил сведения об объекте закупки, в частности: по п. «Подсчет клеток крови ИВД, реагент»: «Объем реагента: </w:t>
      </w:r>
      <w:r>
        <w:rPr>
          <w:rStyle w:val="CharStyle7"/>
          <w:lang w:val="en-US" w:eastAsia="en-US"/>
        </w:rPr>
        <w:t xml:space="preserve">4000 </w:t>
      </w:r>
      <w:r>
        <w:rPr>
          <w:rStyle w:val="CharStyle7"/>
        </w:rPr>
        <w:t xml:space="preserve">Кубический сантиметр; миллилитр», при этом также указан регистрационный номер медицинского изделия: РЗН </w:t>
      </w:r>
      <w:r>
        <w:rPr>
          <w:rStyle w:val="CharStyle7"/>
          <w:lang w:val="en-US" w:eastAsia="en-US"/>
        </w:rPr>
        <w:t>2024/23163.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составе жалоб Зая</w:t>
      </w:r>
      <w:r>
        <w:rPr>
          <w:rStyle w:val="CharStyle7"/>
          <w:color w:val="0000FF"/>
          <w:sz w:val="19"/>
          <w:szCs w:val="19"/>
        </w:rPr>
        <w:t>в</w:t>
      </w:r>
      <w:r>
        <w:rPr>
          <w:rStyle w:val="CharStyle7"/>
        </w:rPr>
        <w:t xml:space="preserve">итель указывает, что в электронном файле «Техническое задание», приложенном к структурированной форме извещения, содержится следующее описание требований к объему закупаемых реагентов по п.1-2 «Подсчет клеток крови ИВД, реагент»: «Объем реагента: </w:t>
      </w:r>
      <w:r>
        <w:rPr>
          <w:rStyle w:val="CharStyle7"/>
          <w:lang w:val="en-US" w:eastAsia="en-US"/>
        </w:rPr>
        <w:t xml:space="preserve">≥ 4000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5000 </w:t>
      </w:r>
      <w:r>
        <w:rPr>
          <w:rStyle w:val="CharStyle7"/>
        </w:rPr>
        <w:t>кубический сантиметр; миллилитр».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заявке по п.1 представлена достоверная информация, как в отношении объема каждого флакона, так и в отношении итоговой комплектации одного набора, а именно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флакона по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л каждый, что позволяет достичь значения </w:t>
      </w:r>
      <w:r>
        <w:rPr>
          <w:rStyle w:val="CharStyle7"/>
          <w:lang w:val="en-US" w:eastAsia="en-US"/>
        </w:rPr>
        <w:t xml:space="preserve">4000 </w:t>
      </w:r>
      <w:r>
        <w:rPr>
          <w:rStyle w:val="CharStyle7"/>
        </w:rPr>
        <w:t xml:space="preserve">мл (которое соответствует установленному диапазону: </w:t>
      </w:r>
      <w:r>
        <w:rPr>
          <w:rStyle w:val="CharStyle7"/>
          <w:lang w:val="en-US" w:eastAsia="en-US"/>
        </w:rPr>
        <w:t xml:space="preserve">≥ 4000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5000. </w:t>
      </w:r>
      <w:r>
        <w:rPr>
          <w:rStyle w:val="CharStyle7"/>
        </w:rPr>
        <w:t xml:space="preserve">При этом из заявки также явным образом следует, что поставщик готов поставить итоговое количество флаконов, соответствующее </w:t>
      </w:r>
      <w:r>
        <w:rPr>
          <w:rStyle w:val="CharStyle7"/>
          <w:lang w:val="en-US" w:eastAsia="en-US"/>
        </w:rPr>
        <w:t xml:space="preserve">75 </w:t>
      </w:r>
      <w:r>
        <w:rPr>
          <w:rStyle w:val="CharStyle7"/>
        </w:rPr>
        <w:t xml:space="preserve">наборам по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флакона объемом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л в каждом.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п.2 в заявке с порядковым номером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и идентификационным номером </w:t>
      </w:r>
      <w:r>
        <w:rPr>
          <w:rStyle w:val="CharStyle7"/>
          <w:lang w:val="en-US" w:eastAsia="en-US"/>
        </w:rPr>
        <w:t xml:space="preserve">3175178 </w:t>
      </w:r>
      <w:r>
        <w:rPr>
          <w:rStyle w:val="CharStyle7"/>
        </w:rPr>
        <w:t xml:space="preserve">представлена информация в отдельном файле о поставке реагента для лизиса клеток крови ДМ-68ЛХ ЛАЙЗ для анализаторов автоматических гематологических по ТУ </w:t>
      </w:r>
      <w:r>
        <w:rPr>
          <w:rStyle w:val="CharStyle7"/>
          <w:lang w:val="en-US" w:eastAsia="en-US"/>
        </w:rPr>
        <w:t xml:space="preserve">20.59.52-002-66418557-2021 </w:t>
      </w:r>
      <w:r>
        <w:rPr>
          <w:rStyle w:val="CharStyle7"/>
        </w:rPr>
        <w:t xml:space="preserve">(регистрационное удостоверение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2024/23163) </w:t>
      </w:r>
      <w:r>
        <w:rPr>
          <w:rStyle w:val="CharStyle7"/>
        </w:rPr>
        <w:t xml:space="preserve">в количестве </w:t>
      </w:r>
      <w:r>
        <w:rPr>
          <w:rStyle w:val="CharStyle7"/>
          <w:lang w:val="en-US" w:eastAsia="en-US"/>
        </w:rPr>
        <w:t xml:space="preserve">34 </w:t>
      </w:r>
      <w:r>
        <w:rPr>
          <w:rStyle w:val="CharStyle7"/>
        </w:rPr>
        <w:t xml:space="preserve">наборов, каждый из которых состоит из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флаконов по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регистрационное удостоверение от </w:t>
      </w:r>
      <w:r>
        <w:rPr>
          <w:rStyle w:val="CharStyle7"/>
          <w:lang w:val="en-US" w:eastAsia="en-US"/>
        </w:rPr>
        <w:t xml:space="preserve">19.07.2024 №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2024/23163 </w:t>
      </w:r>
      <w:r>
        <w:rPr>
          <w:rStyle w:val="CharStyle7"/>
        </w:rPr>
        <w:t xml:space="preserve">на реагент для лизиса клеток для анализаторов автоматических гематологических по ТУ </w:t>
      </w:r>
      <w:r>
        <w:rPr>
          <w:rStyle w:val="CharStyle7"/>
          <w:lang w:val="en-US" w:eastAsia="en-US"/>
        </w:rPr>
        <w:t>20.59.52</w:t>
        <w:softHyphen/>
        <w:t xml:space="preserve">002-66418557-2021 </w:t>
      </w:r>
      <w:r>
        <w:rPr>
          <w:rStyle w:val="CharStyle7"/>
        </w:rPr>
        <w:t xml:space="preserve">содержит в своем составе указание на форму выпуска в виде флакона на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л. или канистру на 5л. при этом какого-либо содержания на зарегистрированную форму выпуска в виде набора из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флаконов по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л. регистрационное удостоверение не содержит. Каких либо документов подтверждающих наличие такого набора Заявителем не представлено. Сведения из заявок не соответствуют инструкции размещенной на официальном сайте Федеральной службы по надзору в сфере здравоохранения, согласно которой, предлагаемые реагенты имеют фасовку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л. 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rStyle w:val="CharStyle7"/>
        </w:rPr>
        <w:t xml:space="preserve">Вместе с тем, Комиссия Управления отмечает, что в инструкции на сайте Росздравнадзора на РЗН </w:t>
      </w:r>
      <w:r>
        <w:rPr>
          <w:rStyle w:val="CharStyle7"/>
          <w:lang w:val="en-US" w:eastAsia="en-US"/>
        </w:rPr>
        <w:t xml:space="preserve">2024/23163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19.07.2024 </w:t>
      </w:r>
      <w:r>
        <w:rPr>
          <w:rStyle w:val="CharStyle7"/>
        </w:rPr>
        <w:t>не содержится сведений об объеме указанном Заявителем в составе своих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пп. «а» п.1 ч.3 ст.50 Закона о контрактной системе не позднее двух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rStyle w:val="CharStyle7"/>
        </w:rPr>
        <w:t xml:space="preserve">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п.8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Признать жалобы ООО «Медпартс» на действия комиссии по осуществлению закупок ГБУЗ «ГКБ </w:t>
      </w:r>
      <w:r>
        <w:rPr>
          <w:rStyle w:val="CharStyle7"/>
          <w:lang w:val="en-US" w:eastAsia="en-US"/>
        </w:rPr>
        <w:t xml:space="preserve">№ 31 </w:t>
      </w:r>
      <w:r>
        <w:rPr>
          <w:rStyle w:val="CharStyle7"/>
        </w:rPr>
        <w:t>им. акад. Г.М. Савельевой ДЗМ» необоснованными.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0" w:val="left"/>
        </w:tabs>
        <w:bidi w:val="0"/>
        <w:spacing w:before="0" w:after="220" w:line="240" w:lineRule="auto"/>
        <w:ind w:left="0" w:right="0" w:firstLine="72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27" w:bottom="1119" w:left="108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10.pt;width:145.20000000000002pt;height:19.699999999999999pt;z-index:-125829371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80000000000001pt;margin-top:22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25pt;margin-top:10.pt;width:102.95pt;height:19.699999999999999pt;z-index:-125829368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153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0" distL="0" distR="0" simplePos="0" relativeHeight="125829387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161290</wp:posOffset>
                </wp:positionV>
                <wp:extent cx="1722120" cy="25908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80000000000001pt;margin-top:12.700000000000001pt;width:135.59999999999999pt;height:20.400000000000002pt;z-index:-125829366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9" behindDoc="0" locked="0" layoutInCell="1" allowOverlap="1">
                <wp:simplePos x="0" y="0"/>
                <wp:positionH relativeFrom="page">
                  <wp:posOffset>6164580</wp:posOffset>
                </wp:positionH>
                <wp:positionV relativeFrom="paragraph">
                  <wp:posOffset>0</wp:posOffset>
                </wp:positionV>
                <wp:extent cx="105473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Леонова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5.40000000000003pt;margin-top:0;width:83.049999999999997pt;height:19.900000000000002pt;z-index:-125829364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Леонова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276EF4D805B62E966E204BCBEB72461C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Действителен с 05.12.2025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28.02.2027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0" distL="0" distR="0" simplePos="0" relativeHeight="125829391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440690</wp:posOffset>
                </wp:positionV>
                <wp:extent cx="1722120" cy="25908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80000000000001pt;margin-top:34.700000000000003pt;width:135.59999999999999pt;height:20.400000000000002pt;z-index:-125829362;mso-wrap-distance-left:0;mso-wrap-distance-top:3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70180" distL="0" distR="0" simplePos="0" relativeHeight="125829393" behindDoc="0" locked="0" layoutInCell="1" allowOverlap="1">
                <wp:simplePos x="0" y="0"/>
                <wp:positionH relativeFrom="page">
                  <wp:posOffset>5978525</wp:posOffset>
                </wp:positionH>
                <wp:positionV relativeFrom="paragraph">
                  <wp:posOffset>279400</wp:posOffset>
                </wp:positionV>
                <wp:extent cx="124079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0.75pt;margin-top:22.pt;width:97.700000000000003pt;height:19.699999999999999pt;z-index:-125829360;mso-wrap-distance-left:0;mso-wrap-distance-top:22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М.В. Сорбучева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6EBF6CE6C27B6345D47DBCD40C7FA5FD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rStyle w:val="CharStyle21"/>
        </w:rPr>
        <w:t xml:space="preserve">Действителен с 19.09.2025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13.12.2026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53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732790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2026-25407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700000000000003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2026-25407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2026-25407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00000000000001pt;margin-top:804.30000000000007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2026-25407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473075</wp:posOffset>
              </wp:positionV>
              <wp:extent cx="39370" cy="914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4999999999999pt;margin-top:37.25pt;width:3.1000000000000001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3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