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11810" cy="60960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11810" cy="609600"/>
                    </a:xfrm>
                    <a:prstGeom prst="rect"/>
                  </pic:spPr>
                </pic:pic>
              </a:graphicData>
            </a:graphic>
          </wp:inline>
        </w:drawing>
      </w:r>
    </w:p>
    <w:p>
      <w:pPr>
        <w:pStyle w:val="Style5"/>
        <w:keepNext w:val="0"/>
        <w:keepLines w:val="0"/>
        <w:widowControl w:val="0"/>
        <w:shd w:val="clear" w:color="auto" w:fill="auto"/>
        <w:bidi w:val="0"/>
        <w:spacing w:before="0" w:after="200" w:line="259" w:lineRule="auto"/>
        <w:ind w:left="0" w:right="0" w:firstLine="0"/>
        <w:jc w:val="center"/>
      </w:pPr>
      <w:r>
        <w:rPr>
          <w:rStyle w:val="CharStyle6"/>
          <w:b/>
          <w:bCs/>
        </w:rPr>
        <w:t>ФЕДЕРАЛЬНАЯ</w:t>
        <w:br/>
        <w:t>АНТИМОНОПОЛЬНАЯ СЛУЖБА</w:t>
      </w:r>
    </w:p>
    <w:p>
      <w:pPr>
        <w:pStyle w:val="Style5"/>
        <w:keepNext w:val="0"/>
        <w:keepLines w:val="0"/>
        <w:widowControl w:val="0"/>
        <w:shd w:val="clear" w:color="auto" w:fill="auto"/>
        <w:bidi w:val="0"/>
        <w:spacing w:before="0" w:after="200" w:line="240" w:lineRule="auto"/>
        <w:ind w:left="0" w:right="0" w:firstLine="0"/>
        <w:jc w:val="center"/>
      </w:pPr>
      <w:r>
        <w:rPr>
          <w:rStyle w:val="CharStyle6"/>
          <w:b/>
          <w:bCs/>
        </w:rPr>
        <w:t>УПРАВЛЕНИЕ</w:t>
      </w:r>
    </w:p>
    <w:p>
      <w:pPr>
        <w:pStyle w:val="Style5"/>
        <w:keepNext w:val="0"/>
        <w:keepLines w:val="0"/>
        <w:widowControl w:val="0"/>
        <w:shd w:val="clear" w:color="auto" w:fill="auto"/>
        <w:bidi w:val="0"/>
        <w:spacing w:before="0" w:after="200" w:line="240" w:lineRule="auto"/>
        <w:ind w:left="0" w:right="0" w:firstLine="0"/>
        <w:jc w:val="center"/>
      </w:pPr>
      <w:r>
        <w:rPr>
          <w:rStyle w:val="CharStyle6"/>
          <w:b/>
          <w:bCs/>
        </w:rPr>
        <w:t>по г. Москве</w:t>
      </w:r>
    </w:p>
    <w:p>
      <w:pPr>
        <w:pStyle w:val="Style5"/>
        <w:keepNext w:val="0"/>
        <w:keepLines w:val="0"/>
        <w:widowControl w:val="0"/>
        <w:shd w:val="clear" w:color="auto" w:fill="auto"/>
        <w:bidi w:val="0"/>
        <w:spacing w:before="0" w:after="260" w:line="240" w:lineRule="auto"/>
        <w:ind w:left="0" w:right="0" w:firstLine="0"/>
        <w:jc w:val="center"/>
      </w:pPr>
      <w:r>
        <w:rPr>
          <w:rStyle w:val="CharStyle6"/>
        </w:rPr>
        <w:t>Мясницкий проезд, д.4, стр. 1</w:t>
        <w:br/>
        <w:t>107078, г. Москва,</w:t>
        <w:br/>
        <w:t>тел. (495) 784-75-05, факс (495) 607-49-29</w:t>
        <w:br/>
        <w:t xml:space="preserve">факс (495) 607-42-92, </w:t>
      </w:r>
      <w:r>
        <w:rPr>
          <w:rStyle w:val="CharStyle6"/>
          <w:u w:val="single"/>
          <w:lang w:val="en-US" w:eastAsia="en-US"/>
        </w:rPr>
        <w:t xml:space="preserve">e-mail: </w:t>
      </w:r>
      <w:r>
        <w:fldChar w:fldCharType="begin"/>
      </w:r>
      <w:r>
        <w:rPr/>
        <w:instrText> HYPERLINK "mailto:to77@fas.gov.ru" </w:instrText>
      </w:r>
      <w:r>
        <w:fldChar w:fldCharType="separate"/>
      </w:r>
      <w:r>
        <w:rPr>
          <w:rStyle w:val="CharStyle6"/>
          <w:u w:val="single"/>
          <w:lang w:val="en-US" w:eastAsia="en-US"/>
        </w:rPr>
        <w:t>to77@fas.gov.ru</w:t>
      </w:r>
      <w:r>
        <w:fldChar w:fldCharType="end"/>
      </w:r>
    </w:p>
    <w:p>
      <w:pPr>
        <w:pStyle w:val="Style5"/>
        <w:keepNext w:val="0"/>
        <w:keepLines w:val="0"/>
        <w:widowControl w:val="0"/>
        <w:shd w:val="clear" w:color="auto" w:fill="auto"/>
        <w:tabs>
          <w:tab w:leader="underscore" w:pos="1766" w:val="left"/>
          <w:tab w:leader="underscore" w:pos="3926" w:val="left"/>
        </w:tabs>
        <w:bidi w:val="0"/>
        <w:spacing w:before="0" w:after="260" w:line="240" w:lineRule="auto"/>
        <w:ind w:left="0" w:right="0" w:firstLine="0"/>
        <w:jc w:val="both"/>
      </w:pPr>
      <w:r>
        <w:rPr>
          <w:rStyle w:val="CharStyle6"/>
        </w:rPr>
        <w:tab/>
        <w:t xml:space="preserve"> №</w:t>
        <w:tab/>
      </w:r>
    </w:p>
    <w:p>
      <w:pPr>
        <w:pStyle w:val="Style5"/>
        <w:keepNext w:val="0"/>
        <w:keepLines w:val="0"/>
        <w:widowControl w:val="0"/>
        <w:shd w:val="clear" w:color="auto" w:fill="auto"/>
        <w:bidi w:val="0"/>
        <w:spacing w:before="0" w:after="0" w:line="240" w:lineRule="auto"/>
        <w:ind w:left="0" w:right="0" w:firstLine="0"/>
        <w:jc w:val="center"/>
      </w:pPr>
      <w:r>
        <w:rPr>
          <w:rStyle w:val="CharStyle6"/>
        </w:rPr>
        <w:t xml:space="preserve">На№  от</w:t>
      </w:r>
    </w:p>
    <w:p>
      <w:pPr>
        <w:pStyle w:val="Style9"/>
        <w:keepNext w:val="0"/>
        <w:keepLines w:val="0"/>
        <w:widowControl w:val="0"/>
        <w:shd w:val="clear" w:color="auto" w:fill="auto"/>
        <w:bidi w:val="0"/>
        <w:spacing w:before="0" w:after="280" w:line="240" w:lineRule="auto"/>
        <w:ind w:left="0" w:right="0" w:firstLine="0"/>
        <w:jc w:val="left"/>
      </w:pPr>
      <w:r>
        <w:rPr>
          <w:rStyle w:val="CharStyle10"/>
        </w:rPr>
        <w:t>ФГБНУ «РНЦХ им. акад. Б.В. Петровского»</w:t>
      </w:r>
    </w:p>
    <w:p>
      <w:pPr>
        <w:pStyle w:val="Style9"/>
        <w:keepNext w:val="0"/>
        <w:keepLines w:val="0"/>
        <w:widowControl w:val="0"/>
        <w:shd w:val="clear" w:color="auto" w:fill="auto"/>
        <w:bidi w:val="0"/>
        <w:spacing w:before="0" w:after="280" w:line="240" w:lineRule="auto"/>
        <w:ind w:left="0" w:right="0" w:firstLine="0"/>
        <w:jc w:val="left"/>
      </w:pPr>
      <w:r>
        <w:fldChar w:fldCharType="begin"/>
      </w:r>
      <w:r>
        <w:rPr/>
        <w:instrText> HYPERLINK "mailto:korovina.ey@med.ru" </w:instrText>
      </w:r>
      <w:r>
        <w:fldChar w:fldCharType="separate"/>
      </w:r>
      <w:r>
        <w:rPr>
          <w:rStyle w:val="CharStyle10"/>
          <w:lang w:val="en-US" w:eastAsia="en-US"/>
        </w:rPr>
        <w:t>korovina.ey@med.ru</w:t>
      </w:r>
      <w:r>
        <w:fldChar w:fldCharType="end"/>
      </w:r>
    </w:p>
    <w:p>
      <w:pPr>
        <w:pStyle w:val="Style9"/>
        <w:keepNext w:val="0"/>
        <w:keepLines w:val="0"/>
        <w:widowControl w:val="0"/>
        <w:shd w:val="clear" w:color="auto" w:fill="auto"/>
        <w:bidi w:val="0"/>
        <w:spacing w:before="0" w:after="280" w:line="240" w:lineRule="auto"/>
        <w:ind w:left="0" w:right="0" w:firstLine="0"/>
        <w:jc w:val="left"/>
      </w:pPr>
      <w:r>
        <w:rPr>
          <w:rStyle w:val="CharStyle10"/>
        </w:rPr>
        <w:t>ООО «Компания хеликон»</w:t>
      </w:r>
    </w:p>
    <w:p>
      <w:pPr>
        <w:pStyle w:val="Style9"/>
        <w:keepNext w:val="0"/>
        <w:keepLines w:val="0"/>
        <w:widowControl w:val="0"/>
        <w:shd w:val="clear" w:color="auto" w:fill="auto"/>
        <w:bidi w:val="0"/>
        <w:spacing w:before="0" w:after="0" w:line="240" w:lineRule="auto"/>
        <w:ind w:left="0" w:right="0" w:firstLine="0"/>
        <w:jc w:val="lef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94" w:right="1842" w:bottom="708" w:left="1135" w:header="0" w:footer="3" w:gutter="0"/>
          <w:pgNumType w:start="1"/>
          <w:cols w:num="2" w:space="720" w:equalWidth="0">
            <w:col w:w="4066" w:space="1205"/>
            <w:col w:w="3653"/>
          </w:cols>
          <w:noEndnote/>
          <w:titlePg/>
          <w:rtlGutter w:val="0"/>
          <w:docGrid w:linePitch="360"/>
        </w:sectPr>
      </w:pPr>
      <w:r>
        <w:fldChar w:fldCharType="begin"/>
      </w:r>
      <w:r>
        <w:rPr/>
        <w:instrText> HYPERLINK "mailto:tender@helicon.ru" </w:instrText>
      </w:r>
      <w:r>
        <w:fldChar w:fldCharType="separate"/>
      </w:r>
      <w:r>
        <w:rPr>
          <w:rStyle w:val="CharStyle10"/>
          <w:lang w:val="en-US" w:eastAsia="en-US"/>
        </w:rPr>
        <w:t>tender@helicon.ru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23" w:after="23" w:line="240" w:lineRule="exact"/>
        <w:rPr>
          <w:sz w:val="19"/>
          <w:szCs w:val="19"/>
        </w:rPr>
      </w:pPr>
    </w:p>
    <w:p>
      <w:pPr>
        <w:widowControl w:val="0"/>
        <w:spacing w:line="1" w:lineRule="exact"/>
        <w:sectPr>
          <w:footnotePr>
            <w:pos w:val="pageBottom"/>
            <w:numFmt w:val="decimal"/>
            <w:numRestart w:val="continuous"/>
          </w:footnotePr>
          <w:type w:val="continuous"/>
          <w:pgSz w:w="11900" w:h="16840"/>
          <w:pgMar w:top="576" w:right="0" w:bottom="770" w:left="0" w:header="0" w:footer="3" w:gutter="0"/>
          <w:cols w:space="720"/>
          <w:noEndnote/>
          <w:rtlGutter w:val="0"/>
          <w:docGrid w:linePitch="360"/>
        </w:sectPr>
      </w:pPr>
    </w:p>
    <w:p>
      <w:pPr>
        <w:pStyle w:val="Style9"/>
        <w:keepNext w:val="0"/>
        <w:keepLines w:val="0"/>
        <w:widowControl w:val="0"/>
        <w:shd w:val="clear" w:color="auto" w:fill="auto"/>
        <w:bidi w:val="0"/>
        <w:spacing w:before="0" w:after="60"/>
        <w:ind w:left="0" w:right="0" w:firstLine="0"/>
        <w:jc w:val="center"/>
      </w:pPr>
      <w:r>
        <w:rPr>
          <w:rStyle w:val="CharStyle10"/>
          <w:b/>
          <w:bCs/>
        </w:rPr>
        <w:t>РЕШЕНИЕ</w:t>
      </w:r>
    </w:p>
    <w:p>
      <w:pPr>
        <w:pStyle w:val="Style9"/>
        <w:keepNext w:val="0"/>
        <w:keepLines w:val="0"/>
        <w:widowControl w:val="0"/>
        <w:shd w:val="clear" w:color="auto" w:fill="auto"/>
        <w:bidi w:val="0"/>
        <w:spacing w:before="0" w:after="0"/>
        <w:ind w:left="0" w:right="0" w:firstLine="0"/>
        <w:jc w:val="center"/>
      </w:pPr>
      <w:r>
        <w:rPr>
          <w:rStyle w:val="CharStyle10"/>
          <w:b/>
          <w:bCs/>
        </w:rPr>
        <w:t>по делу №077/06/105-6208/2026 о нарушении</w:t>
        <w:br/>
        <w:t>законодательства о контрактной системе</w:t>
      </w:r>
    </w:p>
    <w:p>
      <w:pPr>
        <w:pStyle w:val="Style9"/>
        <w:keepNext w:val="0"/>
        <w:keepLines w:val="0"/>
        <w:widowControl w:val="0"/>
        <w:shd w:val="clear" w:color="auto" w:fill="auto"/>
        <w:tabs>
          <w:tab w:pos="8803" w:val="left"/>
        </w:tabs>
        <w:bidi w:val="0"/>
        <w:spacing w:before="0" w:after="0"/>
        <w:ind w:left="0" w:right="0" w:firstLine="0"/>
        <w:jc w:val="both"/>
      </w:pPr>
      <w:r>
        <w:rPr>
          <w:rStyle w:val="CharStyle10"/>
          <w:b/>
          <w:bCs/>
        </w:rPr>
        <w:t>18.05.2026</w:t>
        <w:tab/>
        <w:t>г. Москва</w:t>
      </w:r>
    </w:p>
    <w:p>
      <w:pPr>
        <w:pStyle w:val="Style9"/>
        <w:keepNext w:val="0"/>
        <w:keepLines w:val="0"/>
        <w:widowControl w:val="0"/>
        <w:shd w:val="clear" w:color="auto" w:fill="auto"/>
        <w:bidi w:val="0"/>
        <w:spacing w:before="0" w:after="0"/>
        <w:ind w:left="0" w:right="0" w:firstLine="700"/>
        <w:jc w:val="both"/>
      </w:pPr>
      <w:r>
        <w:rPr>
          <w:rStyle w:val="CharStyle1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9"/>
        <w:keepNext w:val="0"/>
        <w:keepLines w:val="0"/>
        <w:widowControl w:val="0"/>
        <w:shd w:val="clear" w:color="auto" w:fill="auto"/>
        <w:bidi w:val="0"/>
        <w:spacing w:before="0" w:after="0"/>
        <w:ind w:left="0" w:right="0" w:firstLine="700"/>
        <w:jc w:val="both"/>
      </w:pPr>
      <w:r>
        <w:rPr>
          <w:rStyle w:val="CharStyle10"/>
        </w:rPr>
        <w:t>Председательствующего: заместителя начальника отдела обжалования государственных закупок Д.С. Грешневой,</w:t>
      </w:r>
    </w:p>
    <w:p>
      <w:pPr>
        <w:pStyle w:val="Style9"/>
        <w:keepNext w:val="0"/>
        <w:keepLines w:val="0"/>
        <w:widowControl w:val="0"/>
        <w:shd w:val="clear" w:color="auto" w:fill="auto"/>
        <w:bidi w:val="0"/>
        <w:spacing w:before="0" w:after="0"/>
        <w:ind w:left="0" w:right="0" w:firstLine="700"/>
        <w:jc w:val="both"/>
      </w:pPr>
      <w:r>
        <w:rPr>
          <w:rStyle w:val="CharStyle10"/>
        </w:rPr>
        <w:t>Членов комиссии:</w:t>
      </w:r>
    </w:p>
    <w:p>
      <w:pPr>
        <w:pStyle w:val="Style9"/>
        <w:keepNext w:val="0"/>
        <w:keepLines w:val="0"/>
        <w:widowControl w:val="0"/>
        <w:shd w:val="clear" w:color="auto" w:fill="auto"/>
        <w:bidi w:val="0"/>
        <w:spacing w:before="0" w:after="0"/>
        <w:ind w:left="0" w:right="0" w:firstLine="700"/>
        <w:jc w:val="both"/>
      </w:pPr>
      <w:r>
        <w:rPr>
          <w:rStyle w:val="CharStyle10"/>
        </w:rPr>
        <w:t>Главного государственного инспектора отдела обжалования государственных закупок А.А. Матюшенко,</w:t>
      </w:r>
    </w:p>
    <w:p>
      <w:pPr>
        <w:pStyle w:val="Style9"/>
        <w:keepNext w:val="0"/>
        <w:keepLines w:val="0"/>
        <w:widowControl w:val="0"/>
        <w:shd w:val="clear" w:color="auto" w:fill="auto"/>
        <w:bidi w:val="0"/>
        <w:spacing w:before="0" w:after="0"/>
        <w:ind w:left="0" w:right="0" w:firstLine="700"/>
        <w:jc w:val="both"/>
      </w:pPr>
      <w:r>
        <w:rPr>
          <w:rStyle w:val="CharStyle10"/>
        </w:rPr>
        <w:t>Специалиста-эксперта отдела обжалования государственных закупок А.С. Гелмутдиновой,</w:t>
      </w:r>
    </w:p>
    <w:p>
      <w:pPr>
        <w:pStyle w:val="Style9"/>
        <w:keepNext w:val="0"/>
        <w:keepLines w:val="0"/>
        <w:widowControl w:val="0"/>
        <w:shd w:val="clear" w:color="auto" w:fill="auto"/>
        <w:bidi w:val="0"/>
        <w:spacing w:before="0" w:after="0"/>
        <w:ind w:left="0" w:right="0" w:firstLine="700"/>
        <w:jc w:val="both"/>
      </w:pPr>
      <w:r>
        <w:rPr>
          <w:rStyle w:val="CharStyle10"/>
        </w:rPr>
        <w:t>рассмотрение жалобы проводилось дистанционно (посредством видео</w:t>
        <w:softHyphen/>
        <w:t>конференц-связи) при участии представителей: ООО «Компания Хеликон»: Петриковой Е.Б. (дов.№43 от 24.02.2026), Должниковой М.А. (дов.№59 от 13.05.2026), ФГБНУ «РНЦХ им. акад. Б.В. Петровского»: Киселевой А.В. (дов.№01-исх/2093 от 14.05.2026),</w:t>
      </w:r>
    </w:p>
    <w:p>
      <w:pPr>
        <w:pStyle w:val="Style9"/>
        <w:keepNext w:val="0"/>
        <w:keepLines w:val="0"/>
        <w:widowControl w:val="0"/>
        <w:shd w:val="clear" w:color="auto" w:fill="auto"/>
        <w:bidi w:val="0"/>
        <w:spacing w:before="0" w:after="0"/>
        <w:ind w:left="0" w:right="0" w:firstLine="700"/>
        <w:jc w:val="both"/>
      </w:pPr>
      <w:r>
        <w:rPr>
          <w:rStyle w:val="CharStyle10"/>
        </w:rPr>
        <w:t>рассмотрев жалобу ООО «Компания Хеликон» (далее — Заявитель) на действия ФГБНУ «РНЦХ им. акад. Б.В.Петровского» (далее — Заказчик) при проведении электронного аукциона на право заключения государственного контракта на поставку оборудования для нужд ФГБНУ «РНЦХ им. акад. Б.В.Петровского» (Закупка №0373100072126000710)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widowControl w:val="0"/>
        <w:spacing w:line="1" w:lineRule="exact"/>
      </w:pPr>
      <w:r>
        <w:drawing>
          <wp:anchor distT="190500" distB="0" distL="0" distR="0" simplePos="0" relativeHeight="125829378" behindDoc="0" locked="0" layoutInCell="1" allowOverlap="1">
            <wp:simplePos x="0" y="0"/>
            <wp:positionH relativeFrom="page">
              <wp:posOffset>717550</wp:posOffset>
            </wp:positionH>
            <wp:positionV relativeFrom="paragraph">
              <wp:posOffset>190500</wp:posOffset>
            </wp:positionV>
            <wp:extent cx="1511935" cy="292735"/>
            <wp:wrapTopAndBottom/>
            <wp:docPr id="8" name="Shape 8"/>
            <a:graphic xmlns:a="http://schemas.openxmlformats.org/drawingml/2006/main">
              <a:graphicData uri="http://schemas.openxmlformats.org/drawingml/2006/picture">
                <pic:pic xmlns:pic="http://schemas.openxmlformats.org/drawingml/2006/picture">
                  <pic:nvPicPr>
                    <pic:cNvPr id="9" name="Picture box 9"/>
                    <pic:cNvPicPr/>
                  </pic:nvPicPr>
                  <pic:blipFill>
                    <a:blip r:embed="rId11"/>
                    <a:stretch/>
                  </pic:blipFill>
                  <pic:spPr>
                    <a:xfrm>
                      <a:ext cx="1511935" cy="292735"/>
                    </a:xfrm>
                    <a:prstGeom prst="rect"/>
                  </pic:spPr>
                </pic:pic>
              </a:graphicData>
            </a:graphic>
          </wp:anchor>
        </w:drawing>
      </w:r>
    </w:p>
    <w:p>
      <w:pPr>
        <w:pStyle w:val="Style9"/>
        <w:keepNext w:val="0"/>
        <w:keepLines w:val="0"/>
        <w:widowControl w:val="0"/>
        <w:shd w:val="clear" w:color="auto" w:fill="auto"/>
        <w:bidi w:val="0"/>
        <w:spacing w:before="0" w:after="300"/>
        <w:ind w:left="0" w:right="0" w:firstLine="0"/>
        <w:jc w:val="center"/>
      </w:pPr>
      <w:r>
        <w:rPr>
          <w:rStyle w:val="CharStyle10"/>
          <w:b/>
          <w:bCs/>
        </w:rPr>
        <w:t>УСТАНОВИЛА:</w:t>
      </w:r>
    </w:p>
    <w:p>
      <w:pPr>
        <w:pStyle w:val="Style9"/>
        <w:keepNext w:val="0"/>
        <w:keepLines w:val="0"/>
        <w:widowControl w:val="0"/>
        <w:shd w:val="clear" w:color="auto" w:fill="auto"/>
        <w:bidi w:val="0"/>
        <w:spacing w:before="0" w:after="0"/>
        <w:ind w:left="0" w:right="0" w:firstLine="720"/>
        <w:jc w:val="both"/>
      </w:pPr>
      <w:r>
        <w:rPr>
          <w:rStyle w:val="CharStyle10"/>
        </w:rPr>
        <w:t>В Московское УФАС России поступила жалоба Заявителя на действия комиссии по осуществлению закупок Заказчика при проведении вышеуказанного аукциона.</w:t>
      </w:r>
    </w:p>
    <w:p>
      <w:pPr>
        <w:pStyle w:val="Style9"/>
        <w:keepNext w:val="0"/>
        <w:keepLines w:val="0"/>
        <w:widowControl w:val="0"/>
        <w:shd w:val="clear" w:color="auto" w:fill="auto"/>
        <w:bidi w:val="0"/>
        <w:spacing w:before="0" w:after="0"/>
        <w:ind w:left="0" w:right="0" w:firstLine="720"/>
        <w:jc w:val="both"/>
      </w:pPr>
      <w:r>
        <w:rPr>
          <w:rStyle w:val="CharStyle10"/>
        </w:rPr>
        <w:t>На заседании Комиссии Управления Заказчиком представлены документы и сведения, запрашиваемые Московским УФАС России.</w:t>
      </w:r>
    </w:p>
    <w:p>
      <w:pPr>
        <w:pStyle w:val="Style9"/>
        <w:keepNext w:val="0"/>
        <w:keepLines w:val="0"/>
        <w:widowControl w:val="0"/>
        <w:shd w:val="clear" w:color="auto" w:fill="auto"/>
        <w:bidi w:val="0"/>
        <w:spacing w:before="0" w:after="0"/>
        <w:ind w:left="0" w:right="0" w:firstLine="720"/>
        <w:jc w:val="both"/>
      </w:pPr>
      <w:r>
        <w:rPr>
          <w:rStyle w:val="CharStyle10"/>
        </w:rPr>
        <w:t>В составе жалобы Заявитель указывает, что комиссией по осуществлению закупок Заказчика нарушены нормы Закона о контрактной системе в результате отклонения заявки участника закупки ООО «Компания Хеликон».</w:t>
      </w:r>
    </w:p>
    <w:p>
      <w:pPr>
        <w:pStyle w:val="Style9"/>
        <w:keepNext w:val="0"/>
        <w:keepLines w:val="0"/>
        <w:widowControl w:val="0"/>
        <w:shd w:val="clear" w:color="auto" w:fill="auto"/>
        <w:bidi w:val="0"/>
        <w:spacing w:before="0" w:after="0"/>
        <w:ind w:left="0" w:right="0" w:firstLine="720"/>
        <w:jc w:val="both"/>
      </w:pPr>
      <w:r>
        <w:rPr>
          <w:rStyle w:val="CharStyle10"/>
        </w:rPr>
        <w:t xml:space="preserve">Согласно протоколу подведения итогов определения поставщика (подрядчика, исполнителя) от </w:t>
      </w:r>
      <w:r>
        <w:rPr>
          <w:rStyle w:val="CharStyle10"/>
          <w:lang w:val="en-US" w:eastAsia="en-US"/>
        </w:rPr>
        <w:t xml:space="preserve">06.05.2026 </w:t>
      </w:r>
      <w:r>
        <w:rPr>
          <w:rStyle w:val="CharStyle10"/>
        </w:rPr>
        <w:t xml:space="preserve">№ИЭА1 заявка участника закупки ООО «Компания Хеликон», с идентификационным номером </w:t>
      </w:r>
      <w:r>
        <w:rPr>
          <w:rStyle w:val="CharStyle10"/>
          <w:lang w:val="en-US" w:eastAsia="en-US"/>
        </w:rPr>
        <w:t xml:space="preserve">3171488, </w:t>
      </w:r>
      <w:r>
        <w:rPr>
          <w:rStyle w:val="CharStyle10"/>
        </w:rPr>
        <w:t>отклонена комиссией по осуществлению закупок Заказчика на следующем основании: «</w:t>
      </w:r>
      <w:r>
        <w:rPr>
          <w:rStyle w:val="CharStyle10"/>
          <w:i/>
          <w:iCs/>
        </w:rPr>
        <w:t xml:space="preserve">Отклонить заявку на участие в закупке по п.1 ч.12 ст.48 №44-ФЗ «Непредставление информации и документов, предусмотренных извещением об осуществлении закупки (за исключением информации и документов, предусмотренных п. </w:t>
      </w:r>
      <w:r>
        <w:rPr>
          <w:rStyle w:val="CharStyle10"/>
          <w:i/>
          <w:iCs/>
          <w:lang w:val="en-US" w:eastAsia="en-US"/>
        </w:rPr>
        <w:t xml:space="preserve">2, 3 </w:t>
      </w:r>
      <w:r>
        <w:rPr>
          <w:rStyle w:val="CharStyle10"/>
          <w:i/>
          <w:iCs/>
        </w:rPr>
        <w:t xml:space="preserve">ч. </w:t>
      </w:r>
      <w:r>
        <w:rPr>
          <w:rStyle w:val="CharStyle10"/>
          <w:i/>
          <w:iCs/>
          <w:lang w:val="en-US" w:eastAsia="en-US"/>
        </w:rPr>
        <w:t xml:space="preserve">6 </w:t>
      </w:r>
      <w:r>
        <w:rPr>
          <w:rStyle w:val="CharStyle10"/>
          <w:i/>
          <w:iCs/>
        </w:rPr>
        <w:t xml:space="preserve">ст. </w:t>
      </w:r>
      <w:r>
        <w:rPr>
          <w:rStyle w:val="CharStyle10"/>
          <w:i/>
          <w:iCs/>
          <w:lang w:val="en-US" w:eastAsia="en-US"/>
        </w:rPr>
        <w:t xml:space="preserve">43 </w:t>
      </w:r>
      <w:r>
        <w:rPr>
          <w:rStyle w:val="CharStyle10"/>
          <w:i/>
          <w:iCs/>
        </w:rPr>
        <w:t xml:space="preserve">Закона 44-ФЗ), несоответствие таких информации и документов требованиям» В связи с не предоставлением Товарного знака (при наличии у товара Товарного знака) (Документация электронного аукциона </w:t>
      </w:r>
      <w:r>
        <w:rPr>
          <w:rStyle w:val="CharStyle10"/>
          <w:i/>
          <w:iCs/>
          <w:lang w:val="en-US" w:eastAsia="en-US"/>
        </w:rPr>
        <w:t xml:space="preserve">4. </w:t>
      </w:r>
      <w:r>
        <w:rPr>
          <w:rStyle w:val="CharStyle10"/>
          <w:i/>
          <w:iCs/>
        </w:rPr>
        <w:t xml:space="preserve">Требования к содержанию, составу заявки. Приложение </w:t>
      </w:r>
      <w:r>
        <w:rPr>
          <w:rStyle w:val="CharStyle10"/>
          <w:i/>
          <w:iCs/>
          <w:lang w:val="en-US" w:eastAsia="en-US"/>
        </w:rPr>
        <w:t xml:space="preserve">4. </w:t>
      </w:r>
      <w:r>
        <w:rPr>
          <w:rStyle w:val="CharStyle10"/>
          <w:i/>
          <w:iCs/>
        </w:rPr>
        <w:t>Перечень доп требований Инструкция по заполнению заявки на участие в электронном аукционе:</w:t>
      </w:r>
    </w:p>
    <w:p>
      <w:pPr>
        <w:pStyle w:val="Style9"/>
        <w:keepNext w:val="0"/>
        <w:keepLines w:val="0"/>
        <w:widowControl w:val="0"/>
        <w:shd w:val="clear" w:color="auto" w:fill="auto"/>
        <w:bidi w:val="0"/>
        <w:spacing w:before="0" w:after="0"/>
        <w:ind w:left="0" w:right="0" w:firstLine="720"/>
        <w:jc w:val="both"/>
      </w:pPr>
      <w:r>
        <w:rPr>
          <w:rStyle w:val="CharStyle10"/>
          <w:i/>
          <w:iCs/>
        </w:rPr>
        <w:t>Участник закупки должен раздельно по каждому пункту описания объекта закупки (Технического задания) указать:</w:t>
      </w:r>
    </w:p>
    <w:p>
      <w:pPr>
        <w:pStyle w:val="Style9"/>
        <w:keepNext w:val="0"/>
        <w:keepLines w:val="0"/>
        <w:widowControl w:val="0"/>
        <w:shd w:val="clear" w:color="auto" w:fill="auto"/>
        <w:bidi w:val="0"/>
        <w:spacing w:before="0" w:after="0"/>
        <w:ind w:left="0" w:right="0" w:firstLine="720"/>
        <w:jc w:val="both"/>
      </w:pPr>
      <w:r>
        <w:rPr>
          <w:rStyle w:val="CharStyle10"/>
          <w:i/>
          <w:iCs/>
          <w:lang w:val="en-US" w:eastAsia="en-US"/>
        </w:rPr>
        <w:t xml:space="preserve">- </w:t>
      </w:r>
      <w:r>
        <w:rPr>
          <w:rStyle w:val="CharStyle10"/>
          <w:i/>
          <w:iCs/>
        </w:rPr>
        <w:t>товарный знак (при наличии у товара товарного знака).</w:t>
      </w:r>
    </w:p>
    <w:p>
      <w:pPr>
        <w:pStyle w:val="Style9"/>
        <w:keepNext w:val="0"/>
        <w:keepLines w:val="0"/>
        <w:widowControl w:val="0"/>
        <w:shd w:val="clear" w:color="auto" w:fill="auto"/>
        <w:bidi w:val="0"/>
        <w:spacing w:before="0" w:after="0"/>
        <w:ind w:left="0" w:right="0" w:firstLine="720"/>
        <w:jc w:val="both"/>
      </w:pPr>
      <w:r>
        <w:rPr>
          <w:rStyle w:val="CharStyle10"/>
          <w:i/>
          <w:iCs/>
        </w:rPr>
        <w:t>Указание товарного знака (при наличии у товара товарного знака) требуется в случае отсутствия в описании объекта закупки (Техническом задании)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описании объекта закупки (Техническом задании).</w:t>
      </w:r>
    </w:p>
    <w:p>
      <w:pPr>
        <w:pStyle w:val="Style9"/>
        <w:keepNext w:val="0"/>
        <w:keepLines w:val="0"/>
        <w:widowControl w:val="0"/>
        <w:shd w:val="clear" w:color="auto" w:fill="auto"/>
        <w:bidi w:val="0"/>
        <w:spacing w:before="0" w:after="0"/>
        <w:ind w:left="0" w:right="0" w:firstLine="720"/>
        <w:jc w:val="both"/>
      </w:pPr>
      <w:r>
        <w:rPr>
          <w:rStyle w:val="CharStyle10"/>
          <w:i/>
          <w:iCs/>
        </w:rPr>
        <w:t>Таким образом участник закупки не предоставил информацию, что не позволяет Заказчику идентифицировать предлагаемый к поставке товар</w:t>
      </w:r>
      <w:r>
        <w:rPr>
          <w:rStyle w:val="CharStyle10"/>
        </w:rPr>
        <w:t>».</w:t>
      </w:r>
    </w:p>
    <w:p>
      <w:pPr>
        <w:pStyle w:val="Style9"/>
        <w:keepNext w:val="0"/>
        <w:keepLines w:val="0"/>
        <w:widowControl w:val="0"/>
        <w:shd w:val="clear" w:color="auto" w:fill="auto"/>
        <w:bidi w:val="0"/>
        <w:spacing w:before="0" w:after="0"/>
        <w:ind w:left="0" w:right="0" w:firstLine="720"/>
        <w:jc w:val="both"/>
      </w:pPr>
      <w:r>
        <w:rPr>
          <w:rStyle w:val="CharStyle10"/>
        </w:rPr>
        <w:t>Согласно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9"/>
        <w:keepNext w:val="0"/>
        <w:keepLines w:val="0"/>
        <w:widowControl w:val="0"/>
        <w:shd w:val="clear" w:color="auto" w:fill="auto"/>
        <w:bidi w:val="0"/>
        <w:spacing w:before="0" w:after="0"/>
        <w:ind w:left="0" w:right="0" w:firstLine="720"/>
        <w:jc w:val="both"/>
      </w:pPr>
      <w:r>
        <w:rPr>
          <w:rStyle w:val="CharStyle10"/>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w:t>
      </w:r>
    </w:p>
    <w:p>
      <w:pPr>
        <w:pStyle w:val="Style9"/>
        <w:keepNext w:val="0"/>
        <w:keepLines w:val="0"/>
        <w:widowControl w:val="0"/>
        <w:shd w:val="clear" w:color="auto" w:fill="auto"/>
        <w:bidi w:val="0"/>
        <w:spacing w:before="0" w:after="0"/>
        <w:ind w:left="0" w:right="0" w:firstLine="0"/>
        <w:jc w:val="both"/>
      </w:pPr>
      <w:r>
        <w:rPr>
          <w:rStyle w:val="CharStyle10"/>
        </w:rPr>
        <w:t>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9"/>
        <w:keepNext w:val="0"/>
        <w:keepLines w:val="0"/>
        <w:widowControl w:val="0"/>
        <w:shd w:val="clear" w:color="auto" w:fill="auto"/>
        <w:bidi w:val="0"/>
        <w:spacing w:before="0" w:after="0"/>
        <w:ind w:left="0" w:right="0" w:firstLine="700"/>
        <w:jc w:val="both"/>
      </w:pPr>
      <w:r>
        <w:rPr>
          <w:rStyle w:val="CharStyle10"/>
        </w:rPr>
        <w:t xml:space="preserve">Комиссией Управления определено, что, согласно извещению об осуществлению закупки, Заказчиком закупается изделие «Платформа пипетирующая», товарная позиция с идентификатором </w:t>
      </w:r>
      <w:r>
        <w:rPr>
          <w:rStyle w:val="CharStyle10"/>
          <w:lang w:val="en-US" w:eastAsia="en-US"/>
        </w:rPr>
        <w:t>212339169.</w:t>
      </w:r>
    </w:p>
    <w:p>
      <w:pPr>
        <w:pStyle w:val="Style9"/>
        <w:keepNext w:val="0"/>
        <w:keepLines w:val="0"/>
        <w:widowControl w:val="0"/>
        <w:shd w:val="clear" w:color="auto" w:fill="auto"/>
        <w:bidi w:val="0"/>
        <w:spacing w:before="0" w:after="0"/>
        <w:ind w:left="0" w:right="0" w:firstLine="700"/>
        <w:jc w:val="both"/>
      </w:pPr>
      <w:r>
        <w:rPr>
          <w:rStyle w:val="CharStyle10"/>
        </w:rPr>
        <w:t>Согласно п.3 ч.2 ст.42 Закона о контрактной системе извещение об осуществлении закупки, если иное не предусмотрено Законом о контрактной системе, должно содержать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9"/>
        <w:keepNext w:val="0"/>
        <w:keepLines w:val="0"/>
        <w:widowControl w:val="0"/>
        <w:shd w:val="clear" w:color="auto" w:fill="auto"/>
        <w:bidi w:val="0"/>
        <w:spacing w:before="0" w:after="0"/>
        <w:ind w:left="0" w:right="0" w:firstLine="700"/>
        <w:jc w:val="both"/>
      </w:pPr>
      <w:r>
        <w:rPr>
          <w:rStyle w:val="CharStyle10"/>
        </w:rPr>
        <w:t xml:space="preserve">Согласно ч.1 ст.49 Закона о контрактной системе заявка на участие в закупке должна содержать информацию и документы, предусмотренные пп.«м» </w:t>
      </w:r>
      <w:r>
        <w:rPr>
          <w:rStyle w:val="CharStyle10"/>
          <w:lang w:val="en-US" w:eastAsia="en-US"/>
        </w:rPr>
        <w:t xml:space="preserve">- </w:t>
      </w:r>
      <w:r>
        <w:rPr>
          <w:rStyle w:val="CharStyle10"/>
        </w:rPr>
        <w:t xml:space="preserve">«п» п.1, пп.«а» </w:t>
      </w:r>
      <w:r>
        <w:rPr>
          <w:rStyle w:val="CharStyle10"/>
          <w:lang w:val="en-US" w:eastAsia="en-US"/>
        </w:rPr>
        <w:t xml:space="preserve">- </w:t>
      </w:r>
      <w:r>
        <w:rPr>
          <w:rStyle w:val="CharStyle10"/>
        </w:rPr>
        <w:t>«в» п.2, п.5 ч.1 ст.43 Закона о контрактной системе. Заявка также может содержать информацию и документы, предусмотренные пп.«д» п.2 ч.1 ст.43 Закона о контрактной системе.</w:t>
      </w:r>
    </w:p>
    <w:p>
      <w:pPr>
        <w:pStyle w:val="Style9"/>
        <w:keepNext w:val="0"/>
        <w:keepLines w:val="0"/>
        <w:widowControl w:val="0"/>
        <w:shd w:val="clear" w:color="auto" w:fill="auto"/>
        <w:bidi w:val="0"/>
        <w:spacing w:before="0" w:after="0"/>
        <w:ind w:left="0" w:right="0" w:firstLine="700"/>
        <w:jc w:val="both"/>
      </w:pPr>
      <w:r>
        <w:rPr>
          <w:rStyle w:val="CharStyle10"/>
        </w:rPr>
        <w:t>В соответствии с п.2 ч.1 ст.43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w:t>
      </w:r>
    </w:p>
    <w:p>
      <w:pPr>
        <w:pStyle w:val="Style9"/>
        <w:keepNext w:val="0"/>
        <w:keepLines w:val="0"/>
        <w:widowControl w:val="0"/>
        <w:numPr>
          <w:ilvl w:val="0"/>
          <w:numId w:val="1"/>
        </w:numPr>
        <w:shd w:val="clear" w:color="auto" w:fill="auto"/>
        <w:tabs>
          <w:tab w:pos="1190" w:val="left"/>
        </w:tabs>
        <w:bidi w:val="0"/>
        <w:spacing w:before="0" w:after="0"/>
        <w:ind w:left="0" w:right="0" w:firstLine="700"/>
        <w:jc w:val="both"/>
      </w:pPr>
      <w:r>
        <w:rPr>
          <w:rStyle w:val="CharStyle10"/>
        </w:rPr>
        <w:t xml:space="preserve">с учетом положений ч.2 ст.43 Закона о контрактной системе характеристики предлагаемого участником закупки товара, соответствующие показателям, установленным в описании объекта закупки в соответствии с ч. </w:t>
      </w:r>
      <w:r>
        <w:rPr>
          <w:rStyle w:val="CharStyle10"/>
          <w:lang w:val="en-US" w:eastAsia="en-US"/>
        </w:rPr>
        <w:t xml:space="preserve">2 </w:t>
      </w:r>
      <w:r>
        <w:rPr>
          <w:rStyle w:val="CharStyle10"/>
        </w:rPr>
        <w:t xml:space="preserve">ст. </w:t>
      </w:r>
      <w:r>
        <w:rPr>
          <w:rStyle w:val="CharStyle10"/>
          <w:lang w:val="en-US" w:eastAsia="en-US"/>
        </w:rPr>
        <w:t xml:space="preserve">33 </w:t>
      </w:r>
      <w:r>
        <w:rPr>
          <w:rStyle w:val="CharStyle10"/>
        </w:rPr>
        <w:t>Закона о контрактной системе, товарный знак (при наличии у товара товарного знака);</w:t>
      </w:r>
    </w:p>
    <w:p>
      <w:pPr>
        <w:pStyle w:val="Style9"/>
        <w:keepNext w:val="0"/>
        <w:keepLines w:val="0"/>
        <w:widowControl w:val="0"/>
        <w:numPr>
          <w:ilvl w:val="0"/>
          <w:numId w:val="1"/>
        </w:numPr>
        <w:shd w:val="clear" w:color="auto" w:fill="auto"/>
        <w:tabs>
          <w:tab w:pos="1190" w:val="left"/>
        </w:tabs>
        <w:bidi w:val="0"/>
        <w:spacing w:before="0" w:after="0"/>
        <w:ind w:left="0" w:right="0" w:firstLine="700"/>
        <w:jc w:val="both"/>
      </w:pPr>
      <w:r>
        <w:rPr>
          <w:rStyle w:val="CharStyle10"/>
        </w:rPr>
        <w:t>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ч.2 ст.43 Закона о контрактной системе;</w:t>
      </w:r>
    </w:p>
    <w:p>
      <w:pPr>
        <w:pStyle w:val="Style9"/>
        <w:keepNext w:val="0"/>
        <w:keepLines w:val="0"/>
        <w:widowControl w:val="0"/>
        <w:numPr>
          <w:ilvl w:val="0"/>
          <w:numId w:val="1"/>
        </w:numPr>
        <w:shd w:val="clear" w:color="auto" w:fill="auto"/>
        <w:tabs>
          <w:tab w:pos="1190" w:val="left"/>
        </w:tabs>
        <w:bidi w:val="0"/>
        <w:spacing w:before="0" w:after="0"/>
        <w:ind w:left="0" w:right="0" w:firstLine="700"/>
        <w:jc w:val="both"/>
      </w:pPr>
      <w:r>
        <w:rPr>
          <w:rStyle w:val="CharStyle10"/>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Законом о контрактной системе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9"/>
        <w:keepNext w:val="0"/>
        <w:keepLines w:val="0"/>
        <w:widowControl w:val="0"/>
        <w:numPr>
          <w:ilvl w:val="0"/>
          <w:numId w:val="1"/>
        </w:numPr>
        <w:shd w:val="clear" w:color="auto" w:fill="auto"/>
        <w:tabs>
          <w:tab w:pos="1190" w:val="left"/>
        </w:tabs>
        <w:bidi w:val="0"/>
        <w:spacing w:before="0" w:after="0"/>
        <w:ind w:left="0" w:right="0" w:firstLine="700"/>
        <w:jc w:val="both"/>
      </w:pPr>
      <w:r>
        <w:rPr>
          <w:rStyle w:val="CharStyle10"/>
        </w:rPr>
        <w:t xml:space="preserve">с учетом положений ч.2 ст.43 Закона о контрактной системе предложение по критериям, предусмотренным п.2 и (или) </w:t>
      </w:r>
      <w:r>
        <w:rPr>
          <w:rStyle w:val="CharStyle10"/>
          <w:lang w:val="en-US" w:eastAsia="en-US"/>
        </w:rPr>
        <w:t xml:space="preserve">3 </w:t>
      </w:r>
      <w:r>
        <w:rPr>
          <w:rStyle w:val="CharStyle10"/>
        </w:rPr>
        <w:t>ч.1 ст.32 Закона о контрактной системе (в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w:t>
      </w:r>
    </w:p>
    <w:p>
      <w:pPr>
        <w:pStyle w:val="Style9"/>
        <w:keepNext w:val="0"/>
        <w:keepLines w:val="0"/>
        <w:widowControl w:val="0"/>
        <w:numPr>
          <w:ilvl w:val="0"/>
          <w:numId w:val="1"/>
        </w:numPr>
        <w:shd w:val="clear" w:color="auto" w:fill="auto"/>
        <w:tabs>
          <w:tab w:pos="1190" w:val="left"/>
        </w:tabs>
        <w:bidi w:val="0"/>
        <w:spacing w:before="0" w:after="0"/>
        <w:ind w:left="0" w:right="0" w:firstLine="700"/>
        <w:jc w:val="both"/>
      </w:pPr>
      <w:r>
        <w:rPr>
          <w:rStyle w:val="CharStyle10"/>
        </w:rPr>
        <w:t>иные информация и документы, в том числе эскиз, рисунок, чертеж, фотография, иное изображение предлагаемого участником закупки товара. При</w:t>
      </w:r>
    </w:p>
    <w:p>
      <w:pPr>
        <w:pStyle w:val="Style9"/>
        <w:keepNext w:val="0"/>
        <w:keepLines w:val="0"/>
        <w:widowControl w:val="0"/>
        <w:shd w:val="clear" w:color="auto" w:fill="auto"/>
        <w:bidi w:val="0"/>
        <w:spacing w:before="0" w:after="0"/>
        <w:ind w:left="0" w:right="0" w:firstLine="0"/>
        <w:jc w:val="both"/>
      </w:pPr>
      <w:r>
        <w:rPr>
          <w:rStyle w:val="CharStyle10"/>
        </w:rPr>
        <w:t>этом отсутствие таких информации и документов не является основанием для отклонения заявки на участие в закупке.</w:t>
      </w:r>
    </w:p>
    <w:p>
      <w:pPr>
        <w:pStyle w:val="Style9"/>
        <w:keepNext w:val="0"/>
        <w:keepLines w:val="0"/>
        <w:widowControl w:val="0"/>
        <w:shd w:val="clear" w:color="auto" w:fill="auto"/>
        <w:bidi w:val="0"/>
        <w:spacing w:before="0" w:after="0"/>
        <w:ind w:left="0" w:right="0" w:firstLine="720"/>
        <w:jc w:val="both"/>
      </w:pPr>
      <w:r>
        <w:rPr>
          <w:rStyle w:val="CharStyle10"/>
        </w:rPr>
        <w:t>В соответствии с пп.«а» п.2 ч.1 ст.43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 с учетом положений ч.2 ст.43 Закона о контрактной системе характеристики предлагаемого участником закупки товара, соответствующие показателям, установленным в описании объекта закупки в соответствии с ч.2 ст.33 Закона о контрактной системе, товарный знак (при наличии у товара товарного знака).</w:t>
      </w:r>
    </w:p>
    <w:p>
      <w:pPr>
        <w:pStyle w:val="Style9"/>
        <w:keepNext w:val="0"/>
        <w:keepLines w:val="0"/>
        <w:widowControl w:val="0"/>
        <w:shd w:val="clear" w:color="auto" w:fill="auto"/>
        <w:bidi w:val="0"/>
        <w:spacing w:before="0" w:after="0"/>
        <w:ind w:left="0" w:right="0" w:firstLine="720"/>
        <w:jc w:val="both"/>
      </w:pPr>
      <w:r>
        <w:rPr>
          <w:rStyle w:val="CharStyle10"/>
        </w:rPr>
        <w:t xml:space="preserve">Комиссией Управления установлено, что электронном документе </w:t>
      </w:r>
      <w:r>
        <w:rPr>
          <w:rStyle w:val="CharStyle10"/>
          <w:lang w:val="en-US" w:eastAsia="en-US"/>
        </w:rPr>
        <w:t xml:space="preserve">«1 4. </w:t>
      </w:r>
      <w:r>
        <w:rPr>
          <w:rStyle w:val="CharStyle10"/>
        </w:rPr>
        <w:t xml:space="preserve">Требования к содержанию, составу заявки. Приложение </w:t>
      </w:r>
      <w:r>
        <w:rPr>
          <w:rStyle w:val="CharStyle10"/>
          <w:lang w:val="en-US" w:eastAsia="en-US"/>
        </w:rPr>
        <w:t xml:space="preserve">4. </w:t>
      </w:r>
      <w:r>
        <w:rPr>
          <w:rStyle w:val="CharStyle10"/>
        </w:rPr>
        <w:t xml:space="preserve">Перечень доп требований», размещенном в составе извещения, Заказчиком определены в том числе следующие требования к составу заявки на участие в закупке: </w:t>
      </w:r>
      <w:r>
        <w:rPr>
          <w:rStyle w:val="CharStyle10"/>
          <w:lang w:val="en-US" w:eastAsia="en-US"/>
        </w:rPr>
        <w:t>«</w:t>
      </w:r>
      <w:r>
        <w:rPr>
          <w:rStyle w:val="CharStyle10"/>
          <w:i/>
          <w:iCs/>
          <w:lang w:val="en-US" w:eastAsia="en-US"/>
        </w:rPr>
        <w:t xml:space="preserve">2) </w:t>
      </w:r>
      <w:r>
        <w:rPr>
          <w:rStyle w:val="CharStyle10"/>
          <w:i/>
          <w:iCs/>
        </w:rPr>
        <w:t xml:space="preserve">предложение участника закупки в отношении объекта закупки: а) с учетом положений части </w:t>
      </w:r>
      <w:r>
        <w:rPr>
          <w:rStyle w:val="CharStyle10"/>
          <w:i/>
          <w:iCs/>
          <w:lang w:val="en-US" w:eastAsia="en-US"/>
        </w:rPr>
        <w:t xml:space="preserve">2 </w:t>
      </w:r>
      <w:r>
        <w:rPr>
          <w:rStyle w:val="CharStyle10"/>
          <w:i/>
          <w:iCs/>
        </w:rPr>
        <w:t xml:space="preserve">статьи </w:t>
      </w:r>
      <w:r>
        <w:rPr>
          <w:rStyle w:val="CharStyle10"/>
          <w:i/>
          <w:iCs/>
          <w:lang w:val="en-US" w:eastAsia="en-US"/>
        </w:rPr>
        <w:t xml:space="preserve">43 </w:t>
      </w:r>
      <w:r>
        <w:rPr>
          <w:rStyle w:val="CharStyle10"/>
          <w:i/>
          <w:iCs/>
        </w:rPr>
        <w:t xml:space="preserve">Федерального закона </w:t>
      </w:r>
      <w:r>
        <w:rPr>
          <w:rStyle w:val="CharStyle10"/>
          <w:i/>
          <w:iCs/>
          <w:lang w:val="en-US" w:eastAsia="en-US"/>
        </w:rPr>
        <w:t xml:space="preserve">№ </w:t>
      </w:r>
      <w:r>
        <w:rPr>
          <w:rStyle w:val="CharStyle10"/>
          <w:i/>
          <w:iCs/>
        </w:rPr>
        <w:t xml:space="preserve">44-ФЗ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w:t>
      </w:r>
      <w:r>
        <w:rPr>
          <w:rStyle w:val="CharStyle10"/>
          <w:i/>
          <w:iCs/>
          <w:lang w:val="en-US" w:eastAsia="en-US"/>
        </w:rPr>
        <w:t xml:space="preserve">2 </w:t>
      </w:r>
      <w:r>
        <w:rPr>
          <w:rStyle w:val="CharStyle10"/>
          <w:i/>
          <w:iCs/>
        </w:rPr>
        <w:t xml:space="preserve">статьи </w:t>
      </w:r>
      <w:r>
        <w:rPr>
          <w:rStyle w:val="CharStyle10"/>
          <w:i/>
          <w:iCs/>
          <w:lang w:val="en-US" w:eastAsia="en-US"/>
        </w:rPr>
        <w:t xml:space="preserve">33 </w:t>
      </w:r>
      <w:r>
        <w:rPr>
          <w:rStyle w:val="CharStyle10"/>
          <w:i/>
          <w:iCs/>
        </w:rPr>
        <w:t>Федерального закона №44-ФЗ, товарный знак (при наличии у товара товарного знака)</w:t>
      </w:r>
      <w:r>
        <w:rPr>
          <w:rStyle w:val="CharStyle10"/>
        </w:rPr>
        <w:t>».</w:t>
      </w:r>
    </w:p>
    <w:p>
      <w:pPr>
        <w:pStyle w:val="Style9"/>
        <w:keepNext w:val="0"/>
        <w:keepLines w:val="0"/>
        <w:widowControl w:val="0"/>
        <w:shd w:val="clear" w:color="auto" w:fill="auto"/>
        <w:bidi w:val="0"/>
        <w:spacing w:before="0" w:after="0"/>
        <w:ind w:left="0" w:right="0" w:firstLine="720"/>
        <w:jc w:val="both"/>
      </w:pPr>
      <w:r>
        <w:rPr>
          <w:rStyle w:val="CharStyle10"/>
        </w:rPr>
        <w:t>Комиссией Управления установлено, что в составе заявки участника закупки ООО «Компания Хеликон» представлены сведения о предложенном к поставке товаре «Платформа пипетирующая», «Страна происхождения: Швейцарская Конфедерация», при этом товарный знак не указан.</w:t>
      </w:r>
    </w:p>
    <w:p>
      <w:pPr>
        <w:pStyle w:val="Style9"/>
        <w:keepNext w:val="0"/>
        <w:keepLines w:val="0"/>
        <w:widowControl w:val="0"/>
        <w:shd w:val="clear" w:color="auto" w:fill="auto"/>
        <w:bidi w:val="0"/>
        <w:spacing w:before="0" w:after="0"/>
        <w:ind w:left="0" w:right="0" w:firstLine="720"/>
        <w:jc w:val="both"/>
      </w:pPr>
      <w:r>
        <w:rPr>
          <w:rStyle w:val="CharStyle10"/>
        </w:rPr>
        <w:t>Согласно пп.«а» п.1 ч.5 ст.49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п.4 ч.4 ст.49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п.1</w:t>
        <w:softHyphen/>
        <w:t>8</w:t>
      </w:r>
      <w:r>
        <w:rPr>
          <w:rStyle w:val="CharStyle10"/>
          <w:lang w:val="en-US" w:eastAsia="en-US"/>
        </w:rPr>
        <w:t xml:space="preserve"> </w:t>
      </w:r>
      <w:r>
        <w:rPr>
          <w:rStyle w:val="CharStyle10"/>
        </w:rPr>
        <w:t>ч.12 ст.48 Закона о контрактной системе.</w:t>
      </w:r>
    </w:p>
    <w:p>
      <w:pPr>
        <w:pStyle w:val="Style9"/>
        <w:keepNext w:val="0"/>
        <w:keepLines w:val="0"/>
        <w:widowControl w:val="0"/>
        <w:shd w:val="clear" w:color="auto" w:fill="auto"/>
        <w:bidi w:val="0"/>
        <w:spacing w:before="0" w:after="0"/>
        <w:ind w:left="0" w:right="0" w:firstLine="720"/>
        <w:jc w:val="both"/>
      </w:pPr>
      <w:r>
        <w:rPr>
          <w:rStyle w:val="CharStyle10"/>
        </w:rPr>
        <w:t>В силу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9"/>
        <w:keepNext w:val="0"/>
        <w:keepLines w:val="0"/>
        <w:widowControl w:val="0"/>
        <w:numPr>
          <w:ilvl w:val="0"/>
          <w:numId w:val="3"/>
        </w:numPr>
        <w:shd w:val="clear" w:color="auto" w:fill="auto"/>
        <w:tabs>
          <w:tab w:pos="1421" w:val="left"/>
        </w:tabs>
        <w:bidi w:val="0"/>
        <w:spacing w:before="0" w:after="0"/>
        <w:ind w:left="0" w:right="0" w:firstLine="720"/>
        <w:jc w:val="both"/>
      </w:pPr>
      <w:r>
        <w:rPr>
          <w:rStyle w:val="CharStyle10"/>
        </w:rPr>
        <w:t xml:space="preserve">непредставления (за исключением случаев, предусмотренных Законом о контрактной системе) в заявке на участие в закупке информации и документов, предусмотренных извещением об осуществлении закупки в соответствии с Законом о контрактной системе (за исключением информации и документов, предусмотренных п.2 и </w:t>
      </w:r>
      <w:r>
        <w:rPr>
          <w:rStyle w:val="CharStyle10"/>
          <w:lang w:val="en-US" w:eastAsia="en-US"/>
        </w:rPr>
        <w:t xml:space="preserve">3 </w:t>
      </w:r>
      <w:r>
        <w:rPr>
          <w:rStyle w:val="CharStyle10"/>
        </w:rPr>
        <w:t>ч.6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9"/>
        <w:keepNext w:val="0"/>
        <w:keepLines w:val="0"/>
        <w:widowControl w:val="0"/>
        <w:numPr>
          <w:ilvl w:val="0"/>
          <w:numId w:val="3"/>
        </w:numPr>
        <w:shd w:val="clear" w:color="auto" w:fill="auto"/>
        <w:tabs>
          <w:tab w:pos="1421" w:val="left"/>
        </w:tabs>
        <w:bidi w:val="0"/>
        <w:spacing w:before="0" w:after="0"/>
        <w:ind w:left="0" w:right="0" w:firstLine="700"/>
        <w:jc w:val="both"/>
      </w:pPr>
      <w:r>
        <w:rPr>
          <w:rStyle w:val="CharStyle10"/>
        </w:rPr>
        <w:t xml:space="preserve">непредставления информации и документов, предусмотренных п.2 и </w:t>
      </w:r>
      <w:r>
        <w:rPr>
          <w:rStyle w:val="CharStyle10"/>
          <w:lang w:val="en-US" w:eastAsia="en-US"/>
        </w:rPr>
        <w:t xml:space="preserve">3 </w:t>
      </w:r>
      <w:r>
        <w:rPr>
          <w:rStyle w:val="CharStyle10"/>
        </w:rPr>
        <w:t>ч.6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9"/>
        <w:keepNext w:val="0"/>
        <w:keepLines w:val="0"/>
        <w:widowControl w:val="0"/>
        <w:numPr>
          <w:ilvl w:val="0"/>
          <w:numId w:val="3"/>
        </w:numPr>
        <w:shd w:val="clear" w:color="auto" w:fill="auto"/>
        <w:tabs>
          <w:tab w:pos="1421" w:val="left"/>
        </w:tabs>
        <w:bidi w:val="0"/>
        <w:spacing w:before="0" w:after="0"/>
        <w:ind w:left="0" w:right="0" w:firstLine="700"/>
        <w:jc w:val="both"/>
      </w:pPr>
      <w:r>
        <w:rPr>
          <w:rStyle w:val="CharStyle10"/>
        </w:rPr>
        <w:t xml:space="preserve">несоответствия участника закупки требованиям, установленным в извещении об осуществлении закупки в соответствии с ч.1 ст.31 Закона о контрактной системе, требованиям, установленным в извещении об осуществлении закупки в соответствии с ч.1.1, </w:t>
      </w:r>
      <w:r>
        <w:rPr>
          <w:rStyle w:val="CharStyle10"/>
          <w:lang w:val="en-US" w:eastAsia="en-US"/>
        </w:rPr>
        <w:t xml:space="preserve">2 </w:t>
      </w:r>
      <w:r>
        <w:rPr>
          <w:rStyle w:val="CharStyle10"/>
        </w:rPr>
        <w:t xml:space="preserve">и </w:t>
      </w:r>
      <w:r>
        <w:rPr>
          <w:rStyle w:val="CharStyle10"/>
          <w:lang w:val="en-US" w:eastAsia="en-US"/>
        </w:rPr>
        <w:t xml:space="preserve">2.1 </w:t>
      </w:r>
      <w:r>
        <w:rPr>
          <w:rStyle w:val="CharStyle10"/>
        </w:rPr>
        <w:t>(при наличии таких требований) ст.31 Закона о контрактной системе;</w:t>
      </w:r>
    </w:p>
    <w:p>
      <w:pPr>
        <w:pStyle w:val="Style9"/>
        <w:keepNext w:val="0"/>
        <w:keepLines w:val="0"/>
        <w:widowControl w:val="0"/>
        <w:numPr>
          <w:ilvl w:val="0"/>
          <w:numId w:val="3"/>
        </w:numPr>
        <w:shd w:val="clear" w:color="auto" w:fill="auto"/>
        <w:tabs>
          <w:tab w:pos="1421" w:val="left"/>
        </w:tabs>
        <w:bidi w:val="0"/>
        <w:spacing w:before="0" w:after="0"/>
        <w:ind w:left="0" w:right="0" w:firstLine="700"/>
        <w:jc w:val="both"/>
      </w:pPr>
      <w:r>
        <w:rPr>
          <w:rStyle w:val="CharStyle10"/>
        </w:rPr>
        <w:t>предусмотренных пп.«а» п.1 (за исключением случая, предусмотренного п.5 ч.12 ст.48 Закона о контрактной системе), пп.«а» п.2 ч.4, пп.«а» п.1 (за исключением случая, предусмотренного п.5 ч.12 ст.48 Закона о контрактной системе), п.2 ч.5 ст.14 Закона о контрактной системе;</w:t>
      </w:r>
    </w:p>
    <w:p>
      <w:pPr>
        <w:pStyle w:val="Style9"/>
        <w:keepNext w:val="0"/>
        <w:keepLines w:val="0"/>
        <w:widowControl w:val="0"/>
        <w:numPr>
          <w:ilvl w:val="0"/>
          <w:numId w:val="3"/>
        </w:numPr>
        <w:shd w:val="clear" w:color="auto" w:fill="auto"/>
        <w:tabs>
          <w:tab w:pos="1421" w:val="left"/>
        </w:tabs>
        <w:bidi w:val="0"/>
        <w:spacing w:before="0" w:after="0"/>
        <w:ind w:left="0" w:right="0" w:firstLine="700"/>
        <w:jc w:val="both"/>
      </w:pPr>
      <w:r>
        <w:rPr>
          <w:rStyle w:val="CharStyle10"/>
        </w:rPr>
        <w:t>непредставления информации и документов, предусмотренных п.5 ч.1 ст.43 Закона о контрактной системе, если такие информация и документы определены в соответствии с п.2 ч.2 ст.14 Закона о контрактной системе (в случае установления в соответствии с пп.«а» п.1 ч.2 ст.14 Закона о контрактной системе в извещении об осуществлении закупки запрета закупок товара, происходящего из иностранного государства);</w:t>
      </w:r>
    </w:p>
    <w:p>
      <w:pPr>
        <w:pStyle w:val="Style9"/>
        <w:keepNext w:val="0"/>
        <w:keepLines w:val="0"/>
        <w:widowControl w:val="0"/>
        <w:numPr>
          <w:ilvl w:val="0"/>
          <w:numId w:val="3"/>
        </w:numPr>
        <w:shd w:val="clear" w:color="auto" w:fill="auto"/>
        <w:tabs>
          <w:tab w:pos="1421" w:val="left"/>
        </w:tabs>
        <w:bidi w:val="0"/>
        <w:spacing w:before="0" w:after="0"/>
        <w:ind w:left="0" w:right="0" w:firstLine="700"/>
        <w:jc w:val="both"/>
      </w:pPr>
      <w:r>
        <w:rPr>
          <w:rStyle w:val="CharStyle10"/>
        </w:rPr>
        <w:t xml:space="preserve">выявления отнесения участника закупки к организациям, предусмотренным п.4 ст.2 Федерального закона от </w:t>
      </w:r>
      <w:r>
        <w:rPr>
          <w:rStyle w:val="CharStyle10"/>
          <w:lang w:val="en-US" w:eastAsia="en-US"/>
        </w:rPr>
        <w:t xml:space="preserve">4 </w:t>
      </w:r>
      <w:r>
        <w:rPr>
          <w:rStyle w:val="CharStyle10"/>
        </w:rPr>
        <w:t xml:space="preserve">июня </w:t>
      </w:r>
      <w:r>
        <w:rPr>
          <w:rStyle w:val="CharStyle10"/>
          <w:lang w:val="en-US" w:eastAsia="en-US"/>
        </w:rPr>
        <w:t xml:space="preserve">2018 </w:t>
      </w:r>
      <w:r>
        <w:rPr>
          <w:rStyle w:val="CharStyle10"/>
        </w:rPr>
        <w:t>года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9"/>
        <w:keepNext w:val="0"/>
        <w:keepLines w:val="0"/>
        <w:widowControl w:val="0"/>
        <w:numPr>
          <w:ilvl w:val="0"/>
          <w:numId w:val="3"/>
        </w:numPr>
        <w:shd w:val="clear" w:color="auto" w:fill="auto"/>
        <w:tabs>
          <w:tab w:pos="2121" w:val="left"/>
        </w:tabs>
        <w:bidi w:val="0"/>
        <w:spacing w:before="0" w:after="0"/>
        <w:ind w:left="0" w:right="0" w:firstLine="700"/>
        <w:jc w:val="both"/>
      </w:pPr>
      <w:r>
        <w:rPr>
          <w:rStyle w:val="CharStyle10"/>
        </w:rPr>
        <w:t>предусмотренных ч.6 ст.45 Закона о контрактной системе;</w:t>
      </w:r>
    </w:p>
    <w:p>
      <w:pPr>
        <w:pStyle w:val="Style9"/>
        <w:keepNext w:val="0"/>
        <w:keepLines w:val="0"/>
        <w:widowControl w:val="0"/>
        <w:numPr>
          <w:ilvl w:val="0"/>
          <w:numId w:val="3"/>
        </w:numPr>
        <w:shd w:val="clear" w:color="auto" w:fill="auto"/>
        <w:tabs>
          <w:tab w:pos="1421" w:val="left"/>
        </w:tabs>
        <w:bidi w:val="0"/>
        <w:spacing w:before="0" w:after="0"/>
        <w:ind w:left="0" w:right="0" w:firstLine="700"/>
        <w:jc w:val="both"/>
      </w:pPr>
      <w:r>
        <w:rPr>
          <w:rStyle w:val="CharStyle10"/>
        </w:rPr>
        <w:t>выявления недостоверной информации, содержащейся в заявке на участие в закупке;</w:t>
      </w:r>
    </w:p>
    <w:p>
      <w:pPr>
        <w:pStyle w:val="Style9"/>
        <w:keepNext w:val="0"/>
        <w:keepLines w:val="0"/>
        <w:widowControl w:val="0"/>
        <w:numPr>
          <w:ilvl w:val="0"/>
          <w:numId w:val="3"/>
        </w:numPr>
        <w:shd w:val="clear" w:color="auto" w:fill="auto"/>
        <w:tabs>
          <w:tab w:pos="1421" w:val="left"/>
        </w:tabs>
        <w:bidi w:val="0"/>
        <w:spacing w:before="0" w:after="0"/>
        <w:ind w:left="0" w:right="0" w:firstLine="700"/>
        <w:jc w:val="both"/>
      </w:pPr>
      <w:r>
        <w:rPr>
          <w:rStyle w:val="CharStyle10"/>
        </w:rPr>
        <w:t>указания информации о предложении участника закупки, предусмотренном п.3 или п.4 ч.1 ст.43 Закона о контрактной системе.</w:t>
      </w:r>
    </w:p>
    <w:p>
      <w:pPr>
        <w:pStyle w:val="Style9"/>
        <w:keepNext w:val="0"/>
        <w:keepLines w:val="0"/>
        <w:widowControl w:val="0"/>
        <w:shd w:val="clear" w:color="auto" w:fill="auto"/>
        <w:bidi w:val="0"/>
        <w:spacing w:before="0" w:after="0"/>
        <w:ind w:left="0" w:right="0" w:firstLine="700"/>
        <w:jc w:val="both"/>
      </w:pPr>
      <w:r>
        <w:rPr>
          <w:rStyle w:val="CharStyle10"/>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9"/>
        <w:keepNext w:val="0"/>
        <w:keepLines w:val="0"/>
        <w:widowControl w:val="0"/>
        <w:shd w:val="clear" w:color="auto" w:fill="auto"/>
        <w:bidi w:val="0"/>
        <w:spacing w:before="0" w:after="0"/>
        <w:ind w:left="0" w:right="0" w:firstLine="700"/>
        <w:jc w:val="both"/>
      </w:pPr>
      <w:r>
        <w:rPr>
          <w:rStyle w:val="CharStyle10"/>
        </w:rPr>
        <w:t>На заседании Комиссии Управления представитель Заказчика пояснил, что заявка участника закупки ООО «Компания Хеликон» отклонена комиссией по осуществлению закупок Заказчика на основании непредставления сведений о международном товарном знаке предложенного к поставке товара.</w:t>
      </w:r>
    </w:p>
    <w:p>
      <w:pPr>
        <w:pStyle w:val="Style9"/>
        <w:keepNext w:val="0"/>
        <w:keepLines w:val="0"/>
        <w:widowControl w:val="0"/>
        <w:shd w:val="clear" w:color="auto" w:fill="auto"/>
        <w:bidi w:val="0"/>
        <w:spacing w:before="0" w:after="0"/>
        <w:ind w:left="0" w:right="0" w:firstLine="700"/>
        <w:jc w:val="both"/>
      </w:pPr>
      <w:r>
        <w:rPr>
          <w:rStyle w:val="CharStyle10"/>
        </w:rPr>
        <w:t xml:space="preserve">Так, Заказчиком установлено, что, исходя из совокупности представленных в составе заявки участника закупки сведений о характеристиках товара, к поставке предложен товар Многофункциональная автоматическая пипетирующая платформа </w:t>
      </w:r>
      <w:r>
        <w:rPr>
          <w:rStyle w:val="CharStyle10"/>
          <w:lang w:val="en-US" w:eastAsia="en-US"/>
        </w:rPr>
        <w:t xml:space="preserve">Fluent 480, </w:t>
      </w:r>
      <w:r>
        <w:rPr>
          <w:rStyle w:val="CharStyle10"/>
        </w:rPr>
        <w:t xml:space="preserve">производства </w:t>
      </w:r>
      <w:r>
        <w:rPr>
          <w:rStyle w:val="CharStyle10"/>
          <w:lang w:val="en-US" w:eastAsia="en-US"/>
        </w:rPr>
        <w:t xml:space="preserve">«Tecan Schweiz AG», </w:t>
      </w:r>
      <w:r>
        <w:rPr>
          <w:rStyle w:val="CharStyle10"/>
        </w:rPr>
        <w:t xml:space="preserve">Швейцария, при этом указанный анализатор относится к научным приборам и имеет зарегистрированный международный товарный знак </w:t>
      </w:r>
      <w:r>
        <w:rPr>
          <w:rStyle w:val="CharStyle10"/>
          <w:lang w:val="en-US" w:eastAsia="en-US"/>
        </w:rPr>
        <w:t xml:space="preserve">«TECAN», </w:t>
      </w:r>
      <w:r>
        <w:rPr>
          <w:rStyle w:val="CharStyle10"/>
        </w:rPr>
        <w:t>размещенный на лицевой стороне самой</w:t>
      </w:r>
    </w:p>
    <w:p>
      <w:pPr>
        <w:pStyle w:val="Style9"/>
        <w:keepNext w:val="0"/>
        <w:keepLines w:val="0"/>
        <w:widowControl w:val="0"/>
        <w:shd w:val="clear" w:color="auto" w:fill="auto"/>
        <w:bidi w:val="0"/>
        <w:spacing w:before="0" w:after="0"/>
        <w:ind w:left="0" w:right="0" w:firstLine="0"/>
        <w:jc w:val="both"/>
      </w:pPr>
      <w:r>
        <w:rPr>
          <w:rStyle w:val="CharStyle10"/>
        </w:rPr>
        <w:t xml:space="preserve">платформы (номер регистрации товарного знака </w:t>
      </w:r>
      <w:r>
        <w:rPr>
          <w:rStyle w:val="CharStyle10"/>
          <w:lang w:val="en-US" w:eastAsia="en-US"/>
        </w:rPr>
        <w:t>580499).</w:t>
      </w:r>
    </w:p>
    <w:p>
      <w:pPr>
        <w:pStyle w:val="Style9"/>
        <w:keepNext w:val="0"/>
        <w:keepLines w:val="0"/>
        <w:widowControl w:val="0"/>
        <w:shd w:val="clear" w:color="auto" w:fill="auto"/>
        <w:bidi w:val="0"/>
        <w:spacing w:before="0" w:after="0"/>
        <w:ind w:left="0" w:right="0" w:firstLine="700"/>
        <w:jc w:val="both"/>
      </w:pPr>
      <w:r>
        <w:rPr>
          <w:rStyle w:val="CharStyle10"/>
        </w:rPr>
        <w:t>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9"/>
        <w:keepNext w:val="0"/>
        <w:keepLines w:val="0"/>
        <w:widowControl w:val="0"/>
        <w:shd w:val="clear" w:color="auto" w:fill="auto"/>
        <w:bidi w:val="0"/>
        <w:spacing w:before="0" w:after="0"/>
        <w:ind w:left="0" w:right="0" w:firstLine="700"/>
        <w:jc w:val="both"/>
      </w:pPr>
      <w:r>
        <w:rPr>
          <w:rStyle w:val="CharStyle10"/>
        </w:rPr>
        <w:t>На заседании Комиссии Управления представитель Заявителя пояснил, что указанный представителем Заказчика международный товарный знак не подлежат правовой защите на территории Российской Федерации, так как не зарегистрирован надлежащим образом, при этом представитель Заявителя ходатайство объявлении перерыва в рассмотрении жалобы.</w:t>
      </w:r>
    </w:p>
    <w:p>
      <w:pPr>
        <w:pStyle w:val="Style9"/>
        <w:keepNext w:val="0"/>
        <w:keepLines w:val="0"/>
        <w:widowControl w:val="0"/>
        <w:shd w:val="clear" w:color="auto" w:fill="auto"/>
        <w:bidi w:val="0"/>
        <w:spacing w:before="0" w:after="0"/>
        <w:ind w:left="0" w:right="0" w:firstLine="700"/>
        <w:jc w:val="both"/>
      </w:pPr>
      <w:r>
        <w:rPr>
          <w:rStyle w:val="CharStyle10"/>
        </w:rPr>
        <w:t>На основании вышеизложенного Комиссией Управления объявлен перерыв в рассмотрении жалобы для возможности представления сторонами дополнительных сведений, подтверждающих позицию сторон.</w:t>
      </w:r>
    </w:p>
    <w:p>
      <w:pPr>
        <w:pStyle w:val="Style9"/>
        <w:keepNext w:val="0"/>
        <w:keepLines w:val="0"/>
        <w:widowControl w:val="0"/>
        <w:shd w:val="clear" w:color="auto" w:fill="auto"/>
        <w:bidi w:val="0"/>
        <w:spacing w:before="0" w:after="0"/>
        <w:ind w:left="0" w:right="0" w:firstLine="700"/>
        <w:jc w:val="both"/>
      </w:pPr>
      <w:r>
        <w:rPr>
          <w:rStyle w:val="CharStyle10"/>
        </w:rPr>
        <w:t xml:space="preserve">Вместе с этим после объявления перерыва в рассмотрении жалобы представитель Заявителя указал, что товарный знак </w:t>
      </w:r>
      <w:r>
        <w:rPr>
          <w:rStyle w:val="CharStyle10"/>
          <w:lang w:val="en-US" w:eastAsia="en-US"/>
        </w:rPr>
        <w:t xml:space="preserve">«TECAN» </w:t>
      </w:r>
      <w:r>
        <w:rPr>
          <w:rStyle w:val="CharStyle10"/>
        </w:rPr>
        <w:t xml:space="preserve">(номер регистрации товарного знака </w:t>
      </w:r>
      <w:r>
        <w:rPr>
          <w:rStyle w:val="CharStyle10"/>
          <w:lang w:val="en-US" w:eastAsia="en-US"/>
        </w:rPr>
        <w:t xml:space="preserve">580499) </w:t>
      </w:r>
      <w:r>
        <w:rPr>
          <w:rStyle w:val="CharStyle10"/>
        </w:rPr>
        <w:t>не распространяется на предложенное к поставке оборудование, так как цветовое исполнение товарного знака отличается цветового исполнения зарегистрированного товарного знака.</w:t>
      </w:r>
    </w:p>
    <w:p>
      <w:pPr>
        <w:pStyle w:val="Style9"/>
        <w:keepNext w:val="0"/>
        <w:keepLines w:val="0"/>
        <w:widowControl w:val="0"/>
        <w:shd w:val="clear" w:color="auto" w:fill="auto"/>
        <w:bidi w:val="0"/>
        <w:spacing w:before="0" w:after="0"/>
        <w:ind w:left="0" w:right="0" w:firstLine="700"/>
        <w:jc w:val="both"/>
      </w:pPr>
      <w:r>
        <w:rPr>
          <w:rStyle w:val="CharStyle10"/>
        </w:rPr>
        <w:t>Вместе с этим Комиссией Управления отмечает следующее.</w:t>
      </w:r>
    </w:p>
    <w:p>
      <w:pPr>
        <w:pStyle w:val="Style9"/>
        <w:keepNext w:val="0"/>
        <w:keepLines w:val="0"/>
        <w:widowControl w:val="0"/>
        <w:shd w:val="clear" w:color="auto" w:fill="auto"/>
        <w:bidi w:val="0"/>
        <w:spacing w:before="0" w:after="0"/>
        <w:ind w:left="0" w:right="0" w:firstLine="700"/>
        <w:jc w:val="both"/>
      </w:pPr>
      <w:r>
        <w:rPr>
          <w:rStyle w:val="CharStyle10"/>
        </w:rPr>
        <w:t xml:space="preserve">Согласно п.1 ст.1482 Гражданского кодекса Российской Федерации (далее </w:t>
      </w:r>
      <w:r>
        <w:rPr>
          <w:rStyle w:val="CharStyle10"/>
          <w:lang w:val="en-US" w:eastAsia="en-US"/>
        </w:rPr>
        <w:t xml:space="preserve">- </w:t>
      </w:r>
      <w:r>
        <w:rPr>
          <w:rStyle w:val="CharStyle10"/>
        </w:rPr>
        <w:t>ГК РФ) в качестве товарных знаков могут быть зарегистрированы словесные, изобразительные, объемные и другие обозначения или их комбинации.</w:t>
      </w:r>
    </w:p>
    <w:p>
      <w:pPr>
        <w:pStyle w:val="Style9"/>
        <w:keepNext w:val="0"/>
        <w:keepLines w:val="0"/>
        <w:widowControl w:val="0"/>
        <w:shd w:val="clear" w:color="auto" w:fill="auto"/>
        <w:bidi w:val="0"/>
        <w:spacing w:before="0" w:after="0"/>
        <w:ind w:left="0" w:right="0" w:firstLine="700"/>
        <w:jc w:val="both"/>
      </w:pPr>
      <w:r>
        <w:rPr>
          <w:rStyle w:val="CharStyle10"/>
        </w:rPr>
        <w:t>В соответствии с п.1 ст.1477 ГК РФ на товарный знак, то есть на обозначение, служащее для индивидуализации товаров, признается исключительное право, удостоверяемое свидетельством на товарный знак.</w:t>
      </w:r>
    </w:p>
    <w:p>
      <w:pPr>
        <w:pStyle w:val="Style9"/>
        <w:keepNext w:val="0"/>
        <w:keepLines w:val="0"/>
        <w:widowControl w:val="0"/>
        <w:shd w:val="clear" w:color="auto" w:fill="auto"/>
        <w:bidi w:val="0"/>
        <w:spacing w:before="0" w:after="0"/>
        <w:ind w:left="0" w:right="0" w:firstLine="700"/>
        <w:jc w:val="both"/>
      </w:pPr>
      <w:r>
        <w:rPr>
          <w:rStyle w:val="CharStyle10"/>
        </w:rPr>
        <w:t>В силу п.1 ст.1481 ГК РФ на товарный знак, зарегистрированный в Государственном реестре товарных знаков, выдается свидетельство на товарный знак.</w:t>
      </w:r>
    </w:p>
    <w:p>
      <w:pPr>
        <w:pStyle w:val="Style9"/>
        <w:keepNext w:val="0"/>
        <w:keepLines w:val="0"/>
        <w:widowControl w:val="0"/>
        <w:shd w:val="clear" w:color="auto" w:fill="auto"/>
        <w:bidi w:val="0"/>
        <w:spacing w:before="0" w:after="0"/>
        <w:ind w:left="0" w:right="0" w:firstLine="700"/>
        <w:jc w:val="both"/>
      </w:pPr>
      <w:r>
        <w:rPr>
          <w:rStyle w:val="CharStyle10"/>
        </w:rPr>
        <w:t>На основании ст.1479 ГК РФ на территории Российской Федерации действует исключительное право на товарный знак, зарегистрированный федеральным органом исполнительной власти по интеллектуальной собственности, а также в других случаях, предусмотренных международным договором Российской Федерации.</w:t>
      </w:r>
    </w:p>
    <w:p>
      <w:pPr>
        <w:pStyle w:val="Style9"/>
        <w:keepNext w:val="0"/>
        <w:keepLines w:val="0"/>
        <w:widowControl w:val="0"/>
        <w:shd w:val="clear" w:color="auto" w:fill="auto"/>
        <w:bidi w:val="0"/>
        <w:spacing w:before="0" w:after="0"/>
        <w:ind w:left="0" w:right="0" w:firstLine="700"/>
        <w:jc w:val="both"/>
      </w:pPr>
      <w:r>
        <w:rPr>
          <w:rStyle w:val="CharStyle10"/>
        </w:rPr>
        <w:t xml:space="preserve">Согласно п.1 ст.1503 ГК РФ на основании решения о государственной регистрации товарного знака, которое принято в порядке, установленном п.2 и </w:t>
      </w:r>
      <w:r>
        <w:rPr>
          <w:rStyle w:val="CharStyle10"/>
          <w:lang w:val="en-US" w:eastAsia="en-US"/>
        </w:rPr>
        <w:t xml:space="preserve">4 </w:t>
      </w:r>
      <w:r>
        <w:rPr>
          <w:rStyle w:val="CharStyle10"/>
        </w:rPr>
        <w:t xml:space="preserve">статьи </w:t>
      </w:r>
      <w:r>
        <w:rPr>
          <w:rStyle w:val="CharStyle10"/>
          <w:lang w:val="en-US" w:eastAsia="en-US"/>
        </w:rPr>
        <w:t xml:space="preserve">1499 </w:t>
      </w:r>
      <w:r>
        <w:rPr>
          <w:rStyle w:val="CharStyle10"/>
        </w:rPr>
        <w:t>ГК РФ или ст.1248 ГК РФ, федеральный орган исполнительной власти по интеллектуальной собственности в течение месяца со дня уплаты пошлины за государственную регистрацию товарного знака и за выдачу свидетельства на него осуществляет государственную регистрацию товарного знака в Государственном реестре товарных знаков.</w:t>
      </w:r>
    </w:p>
    <w:p>
      <w:pPr>
        <w:pStyle w:val="Style9"/>
        <w:keepNext w:val="0"/>
        <w:keepLines w:val="0"/>
        <w:widowControl w:val="0"/>
        <w:shd w:val="clear" w:color="auto" w:fill="auto"/>
        <w:bidi w:val="0"/>
        <w:spacing w:before="0" w:after="0"/>
        <w:ind w:left="0" w:right="0" w:firstLine="700"/>
        <w:jc w:val="both"/>
      </w:pPr>
      <w:r>
        <w:rPr>
          <w:rStyle w:val="CharStyle10"/>
        </w:rPr>
        <w:t>Государственный реестр товарных знаков вносятся товарный знак, сведения о правообладателе, дата приоритета товарного знака, перечень товаров, для индивидуализации которых зарегистрирован товарный знак, дата его государственной регистрации, другие сведения, относящиеся к регистрации товарного знака, а также последующие изменения этих сведений.</w:t>
      </w:r>
    </w:p>
    <w:p>
      <w:pPr>
        <w:pStyle w:val="Style9"/>
        <w:keepNext w:val="0"/>
        <w:keepLines w:val="0"/>
        <w:widowControl w:val="0"/>
        <w:shd w:val="clear" w:color="auto" w:fill="auto"/>
        <w:bidi w:val="0"/>
        <w:spacing w:before="0" w:after="0"/>
        <w:ind w:left="0" w:right="0" w:firstLine="700"/>
        <w:jc w:val="both"/>
      </w:pPr>
      <w:r>
        <w:rPr>
          <w:rStyle w:val="CharStyle10"/>
        </w:rPr>
        <w:t xml:space="preserve">Комиссия Управления отмечает, что Российская Федерация является участником Протокола к Мадридскому соглашению о международной регистрации знаков, подписанного в г. Мадриде </w:t>
      </w:r>
      <w:r>
        <w:rPr>
          <w:rStyle w:val="CharStyle10"/>
          <w:lang w:val="en-US" w:eastAsia="en-US"/>
        </w:rPr>
        <w:t xml:space="preserve">27.06.1989 </w:t>
      </w:r>
      <w:r>
        <w:rPr>
          <w:rStyle w:val="CharStyle10"/>
        </w:rPr>
        <w:t xml:space="preserve">(далее </w:t>
      </w:r>
      <w:r>
        <w:rPr>
          <w:rStyle w:val="CharStyle10"/>
          <w:lang w:val="en-US" w:eastAsia="en-US"/>
        </w:rPr>
        <w:t xml:space="preserve">- </w:t>
      </w:r>
      <w:r>
        <w:rPr>
          <w:rStyle w:val="CharStyle10"/>
        </w:rPr>
        <w:t>Протокол к Мадридскому соглашению).</w:t>
      </w:r>
    </w:p>
    <w:p>
      <w:pPr>
        <w:pStyle w:val="Style9"/>
        <w:keepNext w:val="0"/>
        <w:keepLines w:val="0"/>
        <w:widowControl w:val="0"/>
        <w:shd w:val="clear" w:color="auto" w:fill="auto"/>
        <w:bidi w:val="0"/>
        <w:spacing w:before="0" w:after="0"/>
        <w:ind w:left="0" w:right="0" w:firstLine="700"/>
        <w:jc w:val="both"/>
      </w:pPr>
      <w:r>
        <w:rPr>
          <w:rStyle w:val="CharStyle10"/>
        </w:rPr>
        <w:t xml:space="preserve">Вышеуказанное также отмечено в п.1 Постановления Пленума Верховного Суда РФ от </w:t>
      </w:r>
      <w:r>
        <w:rPr>
          <w:rStyle w:val="CharStyle10"/>
          <w:lang w:val="en-US" w:eastAsia="en-US"/>
        </w:rPr>
        <w:t xml:space="preserve">23.04.2019 №10 </w:t>
      </w:r>
      <w:r>
        <w:rPr>
          <w:rStyle w:val="CharStyle10"/>
        </w:rPr>
        <w:t>«О применении части четвертой Гражданского кодекса Российской Федерации» к числу международных договоров Российской Федерации в сфере интеллектуальной собственности, в том числе, относится Протокол к Мадридскому соглашению.</w:t>
      </w:r>
    </w:p>
    <w:p>
      <w:pPr>
        <w:pStyle w:val="Style9"/>
        <w:keepNext w:val="0"/>
        <w:keepLines w:val="0"/>
        <w:widowControl w:val="0"/>
        <w:shd w:val="clear" w:color="auto" w:fill="auto"/>
        <w:bidi w:val="0"/>
        <w:spacing w:before="0" w:after="0"/>
        <w:ind w:left="0" w:right="0" w:firstLine="700"/>
        <w:jc w:val="both"/>
      </w:pPr>
      <w:r>
        <w:rPr>
          <w:rStyle w:val="CharStyle10"/>
        </w:rPr>
        <w:t xml:space="preserve">Согласно ст.1 Протокола к Мадридскому соглашению государства-участники настоящего Протокола (далее </w:t>
      </w:r>
      <w:r>
        <w:rPr>
          <w:rStyle w:val="CharStyle10"/>
          <w:lang w:val="en-US" w:eastAsia="en-US"/>
        </w:rPr>
        <w:t xml:space="preserve">- </w:t>
      </w:r>
      <w:r>
        <w:rPr>
          <w:rStyle w:val="CharStyle10"/>
        </w:rPr>
        <w:t xml:space="preserve">Государства-участники настоящего Протокола (ниже именуемые «Договаривающиеся государства»), даже если они не являются участниками Мадридского соглашения о международной регистрации знаков, пересмотренного в Стокгольме в </w:t>
      </w:r>
      <w:r>
        <w:rPr>
          <w:rStyle w:val="CharStyle10"/>
          <w:lang w:val="en-US" w:eastAsia="en-US"/>
        </w:rPr>
        <w:t xml:space="preserve">1967 </w:t>
      </w:r>
      <w:r>
        <w:rPr>
          <w:rStyle w:val="CharStyle10"/>
        </w:rPr>
        <w:t xml:space="preserve">г. и измененного в </w:t>
      </w:r>
      <w:r>
        <w:rPr>
          <w:rStyle w:val="CharStyle10"/>
          <w:lang w:val="en-US" w:eastAsia="en-US"/>
        </w:rPr>
        <w:t xml:space="preserve">1979 </w:t>
      </w:r>
      <w:r>
        <w:rPr>
          <w:rStyle w:val="CharStyle10"/>
        </w:rPr>
        <w:t xml:space="preserve">г. (ниже именуемого «Мадридское соглашение (Стокгольм)»), и организации, упомянутые в статье </w:t>
      </w:r>
      <w:r>
        <w:rPr>
          <w:rStyle w:val="CharStyle10"/>
          <w:lang w:val="en-US" w:eastAsia="en-US"/>
        </w:rPr>
        <w:t xml:space="preserve">14(1) (b), </w:t>
      </w:r>
      <w:r>
        <w:rPr>
          <w:rStyle w:val="CharStyle10"/>
        </w:rPr>
        <w:t>которые являются участницами Протокола к Мадридскому соглашению (ниже именуемые «Договаривающиеся организации»), являются членами того же Союза, что и страны-участницы Мадридского соглашения (Стокгольм). Любая ссылка в Протоколе к Мадридскому соглашению на «Договаривающиеся стороны» означает ссылку на Договаривающиеся государства и Договаривающиеся организации.</w:t>
      </w:r>
    </w:p>
    <w:p>
      <w:pPr>
        <w:pStyle w:val="Style9"/>
        <w:keepNext w:val="0"/>
        <w:keepLines w:val="0"/>
        <w:widowControl w:val="0"/>
        <w:shd w:val="clear" w:color="auto" w:fill="auto"/>
        <w:bidi w:val="0"/>
        <w:spacing w:before="0" w:after="0"/>
        <w:ind w:left="0" w:right="0" w:firstLine="700"/>
        <w:jc w:val="both"/>
      </w:pPr>
      <w:r>
        <w:rPr>
          <w:rStyle w:val="CharStyle10"/>
        </w:rPr>
        <w:t xml:space="preserve">Ст.4 Протокола к Мадридскому соглашению в том числе предусмотрено, что с даты регистрации или внесения записи, произведенной в соответствии с положениями статей </w:t>
      </w:r>
      <w:r>
        <w:rPr>
          <w:rStyle w:val="CharStyle10"/>
          <w:lang w:val="en-US" w:eastAsia="en-US"/>
        </w:rPr>
        <w:t xml:space="preserve">3 </w:t>
      </w:r>
      <w:r>
        <w:rPr>
          <w:rStyle w:val="CharStyle10"/>
        </w:rPr>
        <w:t xml:space="preserve">и </w:t>
      </w:r>
      <w:r>
        <w:rPr>
          <w:rStyle w:val="CharStyle10"/>
          <w:lang w:val="en-US" w:eastAsia="en-US"/>
        </w:rPr>
        <w:t xml:space="preserve">3ter, </w:t>
      </w:r>
      <w:r>
        <w:rPr>
          <w:rStyle w:val="CharStyle10"/>
        </w:rPr>
        <w:t xml:space="preserve">охрана знака в каждой из соответствующих Договаривающихся сторон является такой же, как если бы этот знак был депонирован непосредственно в Ведомство этой Договаривающейся стороны. Если Международное бюро не было уведомлено о каком-либо отказе в соответствии со статьей </w:t>
      </w:r>
      <w:r>
        <w:rPr>
          <w:rStyle w:val="CharStyle10"/>
          <w:lang w:val="en-US" w:eastAsia="en-US"/>
        </w:rPr>
        <w:t xml:space="preserve">5(1) </w:t>
      </w:r>
      <w:r>
        <w:rPr>
          <w:rStyle w:val="CharStyle10"/>
        </w:rPr>
        <w:t xml:space="preserve">и </w:t>
      </w:r>
      <w:r>
        <w:rPr>
          <w:rStyle w:val="CharStyle10"/>
          <w:lang w:val="en-US" w:eastAsia="en-US"/>
        </w:rPr>
        <w:t xml:space="preserve">(2) </w:t>
      </w:r>
      <w:r>
        <w:rPr>
          <w:rStyle w:val="CharStyle10"/>
        </w:rPr>
        <w:t>или если отказ, о котором сделано уведомление в соответствии с указанной статьей, был впоследствии отозван, охрана знака в соответствующей Договаривающейся стороне является с указанной даты такой же, как если бы этот знак был зарегистрирован Ведомством упомянутой Договаривающейся стороны.</w:t>
      </w:r>
    </w:p>
    <w:p>
      <w:pPr>
        <w:pStyle w:val="Style9"/>
        <w:keepNext w:val="0"/>
        <w:keepLines w:val="0"/>
        <w:widowControl w:val="0"/>
        <w:shd w:val="clear" w:color="auto" w:fill="auto"/>
        <w:bidi w:val="0"/>
        <w:spacing w:before="0" w:after="0"/>
        <w:ind w:left="0" w:right="0" w:firstLine="700"/>
        <w:jc w:val="both"/>
      </w:pPr>
      <w:r>
        <w:rPr>
          <w:rStyle w:val="CharStyle10"/>
        </w:rPr>
        <w:t xml:space="preserve">Комиссией Управления установлено, что в реестре международных товарных знаков содержатся сведения о международном товарном знаке </w:t>
      </w:r>
      <w:r>
        <w:rPr>
          <w:rStyle w:val="CharStyle10"/>
          <w:lang w:val="en-US" w:eastAsia="en-US"/>
        </w:rPr>
        <w:t xml:space="preserve">«TECAN» </w:t>
      </w:r>
      <w:r>
        <w:rPr>
          <w:rStyle w:val="CharStyle10"/>
        </w:rPr>
        <w:t xml:space="preserve">(реестровый номер </w:t>
      </w:r>
      <w:r>
        <w:rPr>
          <w:rStyle w:val="CharStyle10"/>
          <w:lang w:val="en-US" w:eastAsia="en-US"/>
        </w:rPr>
        <w:t xml:space="preserve">580499), </w:t>
      </w:r>
      <w:r>
        <w:rPr>
          <w:rStyle w:val="CharStyle10"/>
        </w:rPr>
        <w:t>данные товарный знак распространяется в том числе на такие товары как «Научные, оптические, аналитические, измерительные, дозирующие, контрольные и инспекционные приборы и инструменты, особенно для использования в лабораториях; вычислительные машины, оборудование для сбора и обработки информации, компьютеры», при этом товарному знаку в том числе представлена правовая защита на территории Российской Федерации.</w:t>
      </w:r>
    </w:p>
    <w:p>
      <w:pPr>
        <w:pStyle w:val="Style9"/>
        <w:keepNext w:val="0"/>
        <w:keepLines w:val="0"/>
        <w:widowControl w:val="0"/>
        <w:shd w:val="clear" w:color="auto" w:fill="auto"/>
        <w:bidi w:val="0"/>
        <w:spacing w:before="0" w:after="0"/>
        <w:ind w:left="0" w:right="0" w:firstLine="700"/>
        <w:jc w:val="both"/>
      </w:pPr>
      <w:r>
        <w:rPr>
          <w:rStyle w:val="CharStyle10"/>
        </w:rPr>
        <w:t>На основании вышеизложенного Комиссия Управления приходит к выводу, что на представленный Заявителем к поставке товар распространяется вышеуказанный товарный знак.</w:t>
      </w:r>
    </w:p>
    <w:p>
      <w:pPr>
        <w:pStyle w:val="Style9"/>
        <w:keepNext w:val="0"/>
        <w:keepLines w:val="0"/>
        <w:widowControl w:val="0"/>
        <w:shd w:val="clear" w:color="auto" w:fill="auto"/>
        <w:bidi w:val="0"/>
        <w:spacing w:before="0" w:after="0"/>
        <w:ind w:left="0" w:right="0" w:firstLine="700"/>
        <w:jc w:val="both"/>
      </w:pPr>
      <w:r>
        <w:rPr>
          <w:rStyle w:val="CharStyle10"/>
        </w:rPr>
        <w:t xml:space="preserve">Вместе с этим на заседании Комиссии Управления, а также в составе жалобы, Заявителем не представлено документального подтверждения, что указанный товарный знак </w:t>
      </w:r>
      <w:r>
        <w:rPr>
          <w:rStyle w:val="CharStyle10"/>
          <w:lang w:val="en-US" w:eastAsia="en-US"/>
        </w:rPr>
        <w:t xml:space="preserve">«TECAN» </w:t>
      </w:r>
      <w:r>
        <w:rPr>
          <w:rStyle w:val="CharStyle10"/>
        </w:rPr>
        <w:t xml:space="preserve">(реестровый номер </w:t>
      </w:r>
      <w:r>
        <w:rPr>
          <w:rStyle w:val="CharStyle10"/>
          <w:lang w:val="en-US" w:eastAsia="en-US"/>
        </w:rPr>
        <w:t xml:space="preserve">580499) </w:t>
      </w:r>
      <w:r>
        <w:rPr>
          <w:rStyle w:val="CharStyle10"/>
        </w:rPr>
        <w:t>не распространяется на</w:t>
      </w:r>
      <w:r>
        <w:br w:type="page"/>
      </w:r>
    </w:p>
    <w:p>
      <w:pPr>
        <w:pStyle w:val="Style9"/>
        <w:keepNext w:val="0"/>
        <w:keepLines w:val="0"/>
        <w:widowControl w:val="0"/>
        <w:shd w:val="clear" w:color="auto" w:fill="auto"/>
        <w:bidi w:val="0"/>
        <w:spacing w:before="0" w:after="0"/>
        <w:ind w:left="0" w:right="0" w:firstLine="0"/>
        <w:jc w:val="both"/>
      </w:pPr>
      <w:r>
        <w:rPr>
          <w:rStyle w:val="CharStyle10"/>
        </w:rPr>
        <w:t>предлагаемый к поставке товар, ввиду чего у Комиссии Управления отсутствуют правовые основания для признания комиссии по осуществлению закупок Заказчика нарушившей положения Законе о контрактной системе.</w:t>
      </w:r>
    </w:p>
    <w:p>
      <w:pPr>
        <w:pStyle w:val="Style9"/>
        <w:keepNext w:val="0"/>
        <w:keepLines w:val="0"/>
        <w:widowControl w:val="0"/>
        <w:shd w:val="clear" w:color="auto" w:fill="auto"/>
        <w:bidi w:val="0"/>
        <w:spacing w:before="0" w:after="0"/>
        <w:ind w:left="0" w:right="0" w:firstLine="700"/>
        <w:jc w:val="both"/>
      </w:pPr>
      <w:r>
        <w:rPr>
          <w:rStyle w:val="CharStyle10"/>
        </w:rPr>
        <w:t>Таким образом, Комиссия Управления приходит к выводу о том, что у комиссии Заказчика имелись основания для отклонения заявки Заявителя, ввиду чего, решение комиссии об отклонении заявки Заявителя является правомерным и не противоречит требованиям Закона о контрактной системе.</w:t>
      </w:r>
    </w:p>
    <w:p>
      <w:pPr>
        <w:pStyle w:val="Style9"/>
        <w:keepNext w:val="0"/>
        <w:keepLines w:val="0"/>
        <w:widowControl w:val="0"/>
        <w:shd w:val="clear" w:color="auto" w:fill="auto"/>
        <w:bidi w:val="0"/>
        <w:spacing w:before="0" w:after="440"/>
        <w:ind w:left="0" w:right="0" w:firstLine="700"/>
        <w:jc w:val="both"/>
      </w:pPr>
      <w:r>
        <w:rPr>
          <w:rStyle w:val="CharStyle10"/>
        </w:rPr>
        <w:t>Исследовав представленные материалы, руководствуясь Законом о контрактной системе, Комиссия Управления</w:t>
      </w:r>
    </w:p>
    <w:p>
      <w:pPr>
        <w:pStyle w:val="Style9"/>
        <w:keepNext w:val="0"/>
        <w:keepLines w:val="0"/>
        <w:widowControl w:val="0"/>
        <w:shd w:val="clear" w:color="auto" w:fill="auto"/>
        <w:bidi w:val="0"/>
        <w:spacing w:before="0" w:after="300"/>
        <w:ind w:left="0" w:right="0" w:firstLine="0"/>
        <w:jc w:val="center"/>
      </w:pPr>
      <w:r>
        <w:rPr>
          <w:rStyle w:val="CharStyle10"/>
          <w:b/>
          <w:bCs/>
        </w:rPr>
        <w:t>Р Е Ш И Л А:</w:t>
      </w:r>
    </w:p>
    <w:p>
      <w:pPr>
        <w:pStyle w:val="Style9"/>
        <w:keepNext w:val="0"/>
        <w:keepLines w:val="0"/>
        <w:widowControl w:val="0"/>
        <w:numPr>
          <w:ilvl w:val="0"/>
          <w:numId w:val="5"/>
        </w:numPr>
        <w:shd w:val="clear" w:color="auto" w:fill="auto"/>
        <w:tabs>
          <w:tab w:pos="1416" w:val="left"/>
        </w:tabs>
        <w:bidi w:val="0"/>
        <w:spacing w:before="0" w:after="0"/>
        <w:ind w:left="0" w:right="0" w:firstLine="700"/>
        <w:jc w:val="both"/>
      </w:pPr>
      <w:r>
        <w:rPr>
          <w:rStyle w:val="CharStyle10"/>
        </w:rPr>
        <w:t>Признать жалобу ООО «Компания хеликон» на действия комиссии по осуществлению закупок ФГБНУ «РНЦХ им. акад. Б.В. Петровского» необоснованной.</w:t>
      </w:r>
    </w:p>
    <w:p>
      <w:pPr>
        <w:pStyle w:val="Style9"/>
        <w:keepNext w:val="0"/>
        <w:keepLines w:val="0"/>
        <w:widowControl w:val="0"/>
        <w:numPr>
          <w:ilvl w:val="0"/>
          <w:numId w:val="5"/>
        </w:numPr>
        <w:shd w:val="clear" w:color="auto" w:fill="auto"/>
        <w:tabs>
          <w:tab w:pos="1416" w:val="left"/>
        </w:tabs>
        <w:bidi w:val="0"/>
        <w:spacing w:before="0" w:after="300"/>
        <w:ind w:left="0" w:right="0" w:firstLine="700"/>
        <w:jc w:val="both"/>
      </w:pPr>
      <w:r>
        <w:rPr>
          <w:rStyle w:val="CharStyle10"/>
        </w:rPr>
        <w:t>Снять ограничения, наложенные на определение поставщика (подрядчика, исполнителя).</w:t>
      </w:r>
    </w:p>
    <w:p>
      <w:pPr>
        <w:pStyle w:val="Style9"/>
        <w:keepNext w:val="0"/>
        <w:keepLines w:val="0"/>
        <w:widowControl w:val="0"/>
        <w:shd w:val="clear" w:color="auto" w:fill="auto"/>
        <w:bidi w:val="0"/>
        <w:spacing w:before="0" w:after="0"/>
        <w:ind w:left="0" w:right="0" w:firstLine="700"/>
        <w:jc w:val="both"/>
      </w:pPr>
      <w:r>
        <w:rPr>
          <w:rStyle w:val="CharStyle10"/>
        </w:rPr>
        <w:t xml:space="preserve">Решение может быть обжаловано в судебном порядке в Арбитражном суде г. Москвы в течение </w:t>
      </w:r>
      <w:r>
        <w:rPr>
          <w:rStyle w:val="CharStyle10"/>
          <w:lang w:val="en-US" w:eastAsia="en-US"/>
        </w:rPr>
        <w:t xml:space="preserve">3 </w:t>
      </w:r>
      <w:r>
        <w:rPr>
          <w:rStyle w:val="CharStyle10"/>
        </w:rPr>
        <w:t xml:space="preserve">(трех) месяцев с даты его принятия в порядке, установленном гл. </w:t>
      </w:r>
      <w:r>
        <w:rPr>
          <w:rStyle w:val="CharStyle10"/>
          <w:lang w:val="en-US" w:eastAsia="en-US"/>
        </w:rPr>
        <w:t xml:space="preserve">24 </w:t>
      </w:r>
      <w:r>
        <w:rPr>
          <w:rStyle w:val="CharStyle10"/>
        </w:rPr>
        <w:t>АПК РФ.</w:t>
      </w:r>
    </w:p>
    <w:p>
      <w:pPr>
        <w:widowControl w:val="0"/>
        <w:spacing w:line="1" w:lineRule="exact"/>
        <w:sectPr>
          <w:footnotePr>
            <w:pos w:val="pageBottom"/>
            <w:numFmt w:val="decimal"/>
            <w:numRestart w:val="continuous"/>
          </w:footnotePr>
          <w:type w:val="continuous"/>
          <w:pgSz w:w="11900" w:h="16840"/>
          <w:pgMar w:top="576" w:right="533" w:bottom="770" w:left="1089" w:header="0" w:footer="3" w:gutter="0"/>
          <w:cols w:space="720"/>
          <w:noEndnote/>
          <w:rtlGutter w:val="0"/>
          <w:docGrid w:linePitch="360"/>
        </w:sectPr>
      </w:pPr>
      <w:r>
        <mc:AlternateContent>
          <mc:Choice Requires="wps">
            <w:drawing>
              <wp:anchor distT="127000" distB="192405" distL="0" distR="0" simplePos="0" relativeHeight="125829379" behindDoc="0" locked="0" layoutInCell="1" allowOverlap="1">
                <wp:simplePos x="0" y="0"/>
                <wp:positionH relativeFrom="page">
                  <wp:posOffset>731520</wp:posOffset>
                </wp:positionH>
                <wp:positionV relativeFrom="paragraph">
                  <wp:posOffset>127000</wp:posOffset>
                </wp:positionV>
                <wp:extent cx="1896110" cy="252730"/>
                <wp:wrapTopAndBottom/>
                <wp:docPr id="10" name="Shape 10"/>
                <a:graphic xmlns:a="http://schemas.openxmlformats.org/drawingml/2006/main">
                  <a:graphicData uri="http://schemas.microsoft.com/office/word/2010/wordprocessingShape">
                    <wps:wsp>
                      <wps:cNvSpPr txBox="1"/>
                      <wps:spPr>
                        <a:xfrm>
                          <a:ext cx="1896110" cy="2527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Председательствующий:</w:t>
                            </w:r>
                          </w:p>
                        </w:txbxContent>
                      </wps:txbx>
                      <wps:bodyPr wrap="none" lIns="0" tIns="0" rIns="0" bIns="0">
                        <a:noAutoFit/>
                      </wps:bodyPr>
                    </wps:wsp>
                  </a:graphicData>
                </a:graphic>
              </wp:anchor>
            </w:drawing>
          </mc:Choice>
          <mc:Fallback>
            <w:pict>
              <v:shape id="_x0000_s1036" type="#_x0000_t202" style="position:absolute;margin-left:57.600000000000001pt;margin-top:10.pt;width:149.30000000000001pt;height:19.900000000000002pt;z-index:-125829374;mso-wrap-distance-left:0;mso-wrap-distance-top:10.pt;mso-wrap-distance-right:0;mso-wrap-distance-bottom:15.1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Председательствующий:</w:t>
                      </w:r>
                    </w:p>
                  </w:txbxContent>
                </v:textbox>
                <w10:wrap type="topAndBottom" anchorx="page"/>
              </v:shape>
            </w:pict>
          </mc:Fallback>
        </mc:AlternateContent>
      </w:r>
      <w:r>
        <w:drawing>
          <wp:anchor distT="227330" distB="635" distL="0" distR="1816735" simplePos="0" relativeHeight="125829381" behindDoc="0" locked="0" layoutInCell="1" allowOverlap="1">
            <wp:simplePos x="0" y="0"/>
            <wp:positionH relativeFrom="page">
              <wp:posOffset>3130550</wp:posOffset>
            </wp:positionH>
            <wp:positionV relativeFrom="paragraph">
              <wp:posOffset>227330</wp:posOffset>
            </wp:positionV>
            <wp:extent cx="298450" cy="347345"/>
            <wp:wrapTopAndBottom/>
            <wp:docPr id="12" name="Shape 12"/>
            <a:graphic xmlns:a="http://schemas.openxmlformats.org/drawingml/2006/main">
              <a:graphicData uri="http://schemas.openxmlformats.org/drawingml/2006/picture">
                <pic:pic xmlns:pic="http://schemas.openxmlformats.org/drawingml/2006/picture">
                  <pic:nvPicPr>
                    <pic:cNvPr id="13" name="Picture box 13"/>
                    <pic:cNvPicPr/>
                  </pic:nvPicPr>
                  <pic:blipFill>
                    <a:blip r:embed="rId13"/>
                    <a:stretch/>
                  </pic:blipFill>
                  <pic:spPr>
                    <a:xfrm>
                      <a:ext cx="298450" cy="34734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3520440</wp:posOffset>
                </wp:positionH>
                <wp:positionV relativeFrom="paragraph">
                  <wp:posOffset>288290</wp:posOffset>
                </wp:positionV>
                <wp:extent cx="1722120" cy="259080"/>
                <wp:wrapNone/>
                <wp:docPr id="14" name="Shape 14"/>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0" type="#_x0000_t202" style="position:absolute;margin-left:277.19999999999999pt;margin-top:22.699999999999999pt;width:135.59999999999999pt;height:20.400000000000002pt;z-index:251657729;mso-wrap-distance-left:0;mso-wrap-distance-right:0;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0" distB="192405" distL="0" distR="0" simplePos="0" relativeHeight="125829382" behindDoc="0" locked="0" layoutInCell="1" allowOverlap="1">
                <wp:simplePos x="0" y="0"/>
                <wp:positionH relativeFrom="page">
                  <wp:posOffset>6074410</wp:posOffset>
                </wp:positionH>
                <wp:positionV relativeFrom="paragraph">
                  <wp:posOffset>127000</wp:posOffset>
                </wp:positionV>
                <wp:extent cx="1136650" cy="252730"/>
                <wp:wrapTopAndBottom/>
                <wp:docPr id="16" name="Shape 16"/>
                <a:graphic xmlns:a="http://schemas.openxmlformats.org/drawingml/2006/main">
                  <a:graphicData uri="http://schemas.microsoft.com/office/word/2010/wordprocessingShape">
                    <wps:wsp>
                      <wps:cNvSpPr txBox="1"/>
                      <wps:spPr>
                        <a:xfrm>
                          <a:ext cx="1136650" cy="2527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rStyle w:val="CharStyle10"/>
                              </w:rPr>
                              <w:t>Д.С. Грешнева</w:t>
                            </w:r>
                          </w:p>
                        </w:txbxContent>
                      </wps:txbx>
                      <wps:bodyPr wrap="none" lIns="0" tIns="0" rIns="0" bIns="0">
                        <a:noAutoFit/>
                      </wps:bodyPr>
                    </wps:wsp>
                  </a:graphicData>
                </a:graphic>
              </wp:anchor>
            </w:drawing>
          </mc:Choice>
          <mc:Fallback>
            <w:pict>
              <v:shape id="_x0000_s1042" type="#_x0000_t202" style="position:absolute;margin-left:478.30000000000001pt;margin-top:10.pt;width:89.5pt;height:19.900000000000002pt;z-index:-125829371;mso-wrap-distance-left:0;mso-wrap-distance-top:10.pt;mso-wrap-distance-right:0;mso-wrap-distance-bottom:15.1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rStyle w:val="CharStyle10"/>
                        </w:rPr>
                        <w:t>Д.С. Грешнева</w:t>
                      </w:r>
                    </w:p>
                  </w:txbxContent>
                </v:textbox>
                <w10:wrap type="topAndBottom" anchorx="page"/>
              </v:shape>
            </w:pict>
          </mc:Fallback>
        </mc:AlternateContent>
      </w:r>
    </w:p>
    <w:p>
      <w:pPr>
        <w:pStyle w:val="Style15"/>
        <w:keepNext w:val="0"/>
        <w:keepLines w:val="0"/>
        <w:widowControl w:val="0"/>
        <w:pBdr>
          <w:top w:val="single" w:sz="0" w:space="0" w:color="000000"/>
          <w:left w:val="single" w:sz="0" w:space="0" w:color="000000"/>
          <w:bottom w:val="single" w:sz="0" w:space="2" w:color="000000"/>
          <w:right w:val="single" w:sz="0" w:space="0" w:color="000000"/>
        </w:pBdr>
        <w:shd w:val="clear" w:color="auto" w:fill="000000"/>
        <w:bidi w:val="0"/>
        <w:spacing w:before="0" w:after="66" w:line="240" w:lineRule="auto"/>
        <w:ind w:left="4520" w:right="0" w:firstLine="0"/>
        <w:jc w:val="left"/>
        <w:rPr>
          <w:sz w:val="11"/>
          <w:szCs w:val="11"/>
        </w:rPr>
      </w:pPr>
      <w:r>
        <w:rPr>
          <w:rStyle w:val="CharStyle16"/>
          <w:color w:val="FFFFFF"/>
          <w:sz w:val="11"/>
          <w:szCs w:val="11"/>
        </w:rPr>
        <w:t>СВЕДЕНИЯ О СЕРТИФИКАТЕ ЭП</w:t>
      </w:r>
    </w:p>
    <w:p>
      <w:pPr>
        <w:pStyle w:val="Style15"/>
        <w:keepNext w:val="0"/>
        <w:keepLines w:val="0"/>
        <w:widowControl w:val="0"/>
        <w:shd w:val="clear" w:color="auto" w:fill="auto"/>
        <w:bidi w:val="0"/>
        <w:spacing w:before="0" w:after="0" w:line="240" w:lineRule="auto"/>
        <w:ind w:right="0" w:firstLine="0"/>
        <w:jc w:val="left"/>
        <w:rPr>
          <w:sz w:val="11"/>
          <w:szCs w:val="11"/>
        </w:rPr>
      </w:pPr>
      <w:r>
        <w:rPr>
          <w:rStyle w:val="CharStyle16"/>
        </w:rPr>
        <w:t xml:space="preserve">Кому выдан: </w:t>
      </w:r>
      <w:r>
        <w:rPr>
          <w:rStyle w:val="CharStyle16"/>
          <w:color w:val="000000"/>
          <w:sz w:val="11"/>
          <w:szCs w:val="11"/>
        </w:rPr>
        <w:t>Грешнева Дарья Сергеевна</w:t>
      </w:r>
    </w:p>
    <w:p>
      <w:pPr>
        <w:pStyle w:val="Style15"/>
        <w:keepNext w:val="0"/>
        <w:keepLines w:val="0"/>
        <w:widowControl w:val="0"/>
        <w:shd w:val="clear" w:color="auto" w:fill="auto"/>
        <w:bidi w:val="0"/>
        <w:spacing w:before="0" w:after="0" w:line="240" w:lineRule="auto"/>
        <w:ind w:right="0" w:firstLine="0"/>
        <w:jc w:val="left"/>
      </w:pPr>
      <w:r>
        <w:rPr>
          <w:rStyle w:val="CharStyle16"/>
          <w:color w:val="292929"/>
        </w:rPr>
        <w:t xml:space="preserve">Сертификат № </w:t>
      </w:r>
      <w:r>
        <w:rPr>
          <w:rStyle w:val="CharStyle16"/>
          <w:color w:val="5D5D5D"/>
        </w:rPr>
        <w:t>00831</w:t>
      </w:r>
      <w:r>
        <w:rPr>
          <w:rStyle w:val="CharStyle16"/>
          <w:lang w:val="en-US" w:eastAsia="en-US"/>
        </w:rPr>
        <w:t>B7545C61281C4BAB156778A683BFB</w:t>
      </w:r>
    </w:p>
    <w:p>
      <w:pPr>
        <w:pStyle w:val="Style15"/>
        <w:keepNext w:val="0"/>
        <w:keepLines w:val="0"/>
        <w:widowControl w:val="0"/>
        <w:shd w:val="clear" w:color="auto" w:fill="auto"/>
        <w:bidi w:val="0"/>
        <w:spacing w:before="0" w:after="560" w:line="240" w:lineRule="auto"/>
        <w:ind w:right="0" w:firstLine="0"/>
        <w:jc w:val="left"/>
      </w:pPr>
      <w:r>
        <w:rPr>
          <w:rStyle w:val="CharStyle16"/>
        </w:rPr>
        <w:t xml:space="preserve">Действителен с </w:t>
      </w:r>
      <w:r>
        <w:rPr>
          <w:rStyle w:val="CharStyle16"/>
          <w:color w:val="292929"/>
        </w:rPr>
        <w:t xml:space="preserve">17.07.2025 </w:t>
      </w:r>
      <w:r>
        <w:rPr>
          <w:rStyle w:val="CharStyle16"/>
          <w:color w:val="5D5D5D"/>
        </w:rPr>
        <w:t xml:space="preserve">по </w:t>
      </w:r>
      <w:r>
        <w:rPr>
          <w:rStyle w:val="CharStyle16"/>
        </w:rPr>
        <w:t>10.10.2026</w:t>
      </w:r>
    </w:p>
    <w:p>
      <w:pPr>
        <w:pStyle w:val="Style9"/>
        <w:keepNext w:val="0"/>
        <w:keepLines w:val="0"/>
        <w:widowControl w:val="0"/>
        <w:shd w:val="clear" w:color="auto" w:fill="auto"/>
        <w:bidi w:val="0"/>
        <w:spacing w:before="0" w:after="100" w:line="240" w:lineRule="auto"/>
        <w:ind w:left="0" w:right="0" w:firstLine="0"/>
        <w:jc w:val="left"/>
      </w:pPr>
      <w:r>
        <w:rPr>
          <w:rStyle w:val="CharStyle10"/>
        </w:rPr>
        <w:t>Члены Комиссии:</w:t>
      </w:r>
    </w:p>
    <w:p>
      <w:pPr>
        <w:pStyle w:val="Style9"/>
        <w:keepNext w:val="0"/>
        <w:keepLines w:val="0"/>
        <w:widowControl w:val="0"/>
        <w:shd w:val="clear" w:color="auto" w:fill="auto"/>
        <w:bidi w:val="0"/>
        <w:spacing w:before="0" w:after="390" w:line="240" w:lineRule="auto"/>
        <w:ind w:left="0" w:right="0" w:firstLine="820"/>
        <w:jc w:val="left"/>
      </w:pPr>
      <w:r>
        <w:drawing>
          <wp:anchor distT="0" distB="0" distL="114300" distR="1931035" simplePos="0" relativeHeight="125829384" behindDoc="0" locked="0" layoutInCell="1" allowOverlap="1">
            <wp:simplePos x="0" y="0"/>
            <wp:positionH relativeFrom="page">
              <wp:posOffset>3129915</wp:posOffset>
            </wp:positionH>
            <wp:positionV relativeFrom="paragraph">
              <wp:posOffset>88900</wp:posOffset>
            </wp:positionV>
            <wp:extent cx="298450" cy="347345"/>
            <wp:wrapSquare wrapText="right"/>
            <wp:docPr id="18" name="Shape 18"/>
            <a:graphic xmlns:a="http://schemas.openxmlformats.org/drawingml/2006/main">
              <a:graphicData uri="http://schemas.openxmlformats.org/drawingml/2006/picture">
                <pic:pic xmlns:pic="http://schemas.openxmlformats.org/drawingml/2006/picture">
                  <pic:nvPicPr>
                    <pic:cNvPr id="19" name="Picture box 19"/>
                    <pic:cNvPicPr/>
                  </pic:nvPicPr>
                  <pic:blipFill>
                    <a:blip r:embed="rId15"/>
                    <a:stretch/>
                  </pic:blipFill>
                  <pic:spPr>
                    <a:xfrm>
                      <a:ext cx="298450" cy="34734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3519805</wp:posOffset>
                </wp:positionH>
                <wp:positionV relativeFrom="paragraph">
                  <wp:posOffset>149860</wp:posOffset>
                </wp:positionV>
                <wp:extent cx="1722120" cy="259080"/>
                <wp:wrapNone/>
                <wp:docPr id="20" name="Shape 20"/>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6" type="#_x0000_t202" style="position:absolute;margin-left:277.15000000000003pt;margin-top:11.800000000000001pt;width:135.59999999999999pt;height:20.400000000000002pt;z-index:251657731;mso-wrap-distance-left:0;mso-wrap-distance-right:0;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0"/>
        </w:rPr>
        <w:t>А.А. Матюшенко</w:t>
      </w:r>
    </w:p>
    <w:p>
      <w:pPr>
        <w:pStyle w:val="Style15"/>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4520" w:right="0" w:firstLine="0"/>
        <w:jc w:val="left"/>
        <w:rPr>
          <w:sz w:val="11"/>
          <w:szCs w:val="11"/>
        </w:rPr>
      </w:pPr>
      <w:r>
        <w:rPr>
          <w:rStyle w:val="CharStyle16"/>
          <w:color w:val="FFFFFF"/>
          <w:sz w:val="11"/>
          <w:szCs w:val="11"/>
        </w:rPr>
        <w:t>СВЕДЕНИЯ О СЕРТИФИКАТЕ ЭП</w:t>
      </w:r>
    </w:p>
    <w:p>
      <w:pPr>
        <w:pStyle w:val="Style15"/>
        <w:keepNext w:val="0"/>
        <w:keepLines w:val="0"/>
        <w:widowControl w:val="0"/>
        <w:shd w:val="clear" w:color="auto" w:fill="auto"/>
        <w:bidi w:val="0"/>
        <w:spacing w:before="0" w:after="0" w:line="266" w:lineRule="auto"/>
        <w:ind w:right="0" w:firstLine="20"/>
        <w:jc w:val="left"/>
      </w:pPr>
      <w:r>
        <w:rPr>
          <w:rStyle w:val="CharStyle16"/>
        </w:rPr>
        <w:t xml:space="preserve">Кому выдан: </w:t>
      </w:r>
      <w:r>
        <w:rPr>
          <w:rStyle w:val="CharStyle16"/>
          <w:color w:val="000000"/>
          <w:sz w:val="11"/>
          <w:szCs w:val="11"/>
        </w:rPr>
        <w:t>Матюшенко Александр Александрович</w:t>
      </w:r>
      <w:r>
        <w:rPr>
          <w:rStyle w:val="CharStyle16"/>
          <w:color w:val="000000"/>
          <w:sz w:val="11"/>
          <w:szCs w:val="11"/>
        </w:rPr>
        <w:t xml:space="preserve"> </w:t>
      </w:r>
      <w:r>
        <w:rPr>
          <w:rStyle w:val="CharStyle16"/>
        </w:rPr>
        <w:t xml:space="preserve">Сертификат </w:t>
      </w:r>
      <w:r>
        <w:rPr>
          <w:rStyle w:val="CharStyle16"/>
          <w:color w:val="292929"/>
        </w:rPr>
        <w:t xml:space="preserve">№ </w:t>
      </w:r>
      <w:r>
        <w:rPr>
          <w:rStyle w:val="CharStyle16"/>
          <w:lang w:val="en-US" w:eastAsia="en-US"/>
        </w:rPr>
        <w:t>4F595A5C3E5ABB2DD77161F08559FC07</w:t>
      </w:r>
    </w:p>
    <w:p>
      <w:pPr>
        <w:pStyle w:val="Style15"/>
        <w:keepNext w:val="0"/>
        <w:keepLines w:val="0"/>
        <w:widowControl w:val="0"/>
        <w:shd w:val="clear" w:color="auto" w:fill="auto"/>
        <w:bidi w:val="0"/>
        <w:spacing w:before="0" w:after="560" w:line="266" w:lineRule="auto"/>
        <w:ind w:right="0" w:firstLine="20"/>
        <w:jc w:val="left"/>
      </w:pPr>
      <w:r>
        <w:rPr>
          <w:rStyle w:val="CharStyle16"/>
        </w:rPr>
        <w:t xml:space="preserve">Действителен с 22.07.2025 </w:t>
      </w:r>
      <w:r>
        <w:rPr>
          <w:rStyle w:val="CharStyle16"/>
          <w:color w:val="5D5D5D"/>
        </w:rPr>
        <w:t xml:space="preserve">по </w:t>
      </w:r>
      <w:r>
        <w:rPr>
          <w:rStyle w:val="CharStyle16"/>
        </w:rPr>
        <w:t>15.10.2026</w:t>
      </w:r>
    </w:p>
    <w:p>
      <w:pPr>
        <w:pStyle w:val="Style9"/>
        <w:keepNext w:val="0"/>
        <w:keepLines w:val="0"/>
        <w:widowControl w:val="0"/>
        <w:shd w:val="clear" w:color="auto" w:fill="auto"/>
        <w:bidi w:val="0"/>
        <w:spacing w:before="0" w:after="390" w:line="240" w:lineRule="auto"/>
        <w:ind w:left="0" w:right="0" w:firstLine="600"/>
        <w:jc w:val="left"/>
      </w:pPr>
      <w:r>
        <w:drawing>
          <wp:anchor distT="0" distB="0" distL="114300" distR="1931035" simplePos="0" relativeHeight="125829385" behindDoc="0" locked="0" layoutInCell="1" allowOverlap="1">
            <wp:simplePos x="0" y="0"/>
            <wp:positionH relativeFrom="page">
              <wp:posOffset>3129915</wp:posOffset>
            </wp:positionH>
            <wp:positionV relativeFrom="paragraph">
              <wp:posOffset>88900</wp:posOffset>
            </wp:positionV>
            <wp:extent cx="298450" cy="347345"/>
            <wp:wrapSquare wrapText="right"/>
            <wp:docPr id="22" name="Shape 22"/>
            <a:graphic xmlns:a="http://schemas.openxmlformats.org/drawingml/2006/main">
              <a:graphicData uri="http://schemas.openxmlformats.org/drawingml/2006/picture">
                <pic:pic xmlns:pic="http://schemas.openxmlformats.org/drawingml/2006/picture">
                  <pic:nvPicPr>
                    <pic:cNvPr id="23" name="Picture box 23"/>
                    <pic:cNvPicPr/>
                  </pic:nvPicPr>
                  <pic:blipFill>
                    <a:blip r:embed="rId17"/>
                    <a:stretch/>
                  </pic:blipFill>
                  <pic:spPr>
                    <a:xfrm>
                      <a:ext cx="298450" cy="34734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3519805</wp:posOffset>
                </wp:positionH>
                <wp:positionV relativeFrom="paragraph">
                  <wp:posOffset>149860</wp:posOffset>
                </wp:positionV>
                <wp:extent cx="1722120" cy="259080"/>
                <wp:wrapNone/>
                <wp:docPr id="24" name="Shape 24"/>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0" type="#_x0000_t202" style="position:absolute;margin-left:277.15000000000003pt;margin-top:11.800000000000001pt;width:135.59999999999999pt;height:20.400000000000002pt;z-index:251657733;mso-wrap-distance-left:0;mso-wrap-distance-right:0;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0"/>
        </w:rPr>
        <w:t>А.А. Гелмутдинова</w:t>
      </w:r>
    </w:p>
    <w:p>
      <w:pPr>
        <w:pStyle w:val="Style15"/>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4520" w:right="0" w:firstLine="0"/>
        <w:jc w:val="left"/>
        <w:rPr>
          <w:sz w:val="11"/>
          <w:szCs w:val="11"/>
        </w:rPr>
      </w:pPr>
      <w:r>
        <w:rPr>
          <w:rStyle w:val="CharStyle16"/>
          <w:color w:val="FFFFFF"/>
          <w:sz w:val="11"/>
          <w:szCs w:val="11"/>
        </w:rPr>
        <w:t>СВЕДЕНИЯ О СЕРТИФИКАТЕ ЭП</w:t>
      </w:r>
    </w:p>
    <w:p>
      <w:pPr>
        <w:pStyle w:val="Style15"/>
        <w:keepNext w:val="0"/>
        <w:keepLines w:val="0"/>
        <w:widowControl w:val="0"/>
        <w:shd w:val="clear" w:color="auto" w:fill="auto"/>
        <w:bidi w:val="0"/>
        <w:spacing w:before="0" w:after="0" w:line="266" w:lineRule="auto"/>
        <w:ind w:right="0" w:firstLine="20"/>
        <w:jc w:val="left"/>
      </w:pPr>
      <w:r>
        <w:rPr>
          <w:rStyle w:val="CharStyle16"/>
        </w:rPr>
        <w:t xml:space="preserve">Кому выдан: </w:t>
      </w:r>
      <w:r>
        <w:rPr>
          <w:rStyle w:val="CharStyle16"/>
          <w:color w:val="000000"/>
        </w:rPr>
        <w:t>ГЕЛМУТДИНОВА АНАСТАСИЯ СЕРГЕЕВНА</w:t>
      </w:r>
      <w:r>
        <w:rPr>
          <w:rStyle w:val="CharStyle16"/>
          <w:color w:val="000000"/>
        </w:rPr>
        <w:t xml:space="preserve"> </w:t>
      </w:r>
      <w:r>
        <w:rPr>
          <w:rStyle w:val="CharStyle16"/>
        </w:rPr>
        <w:t xml:space="preserve">Сертификат </w:t>
      </w:r>
      <w:r>
        <w:rPr>
          <w:rStyle w:val="CharStyle16"/>
          <w:color w:val="292929"/>
        </w:rPr>
        <w:t xml:space="preserve">№ </w:t>
      </w:r>
      <w:r>
        <w:rPr>
          <w:rStyle w:val="CharStyle16"/>
        </w:rPr>
        <w:t>723501СС21703599976371</w:t>
      </w:r>
      <w:r>
        <w:rPr>
          <w:rStyle w:val="CharStyle16"/>
          <w:lang w:val="en-US" w:eastAsia="en-US"/>
        </w:rPr>
        <w:t>4F5C652689</w:t>
      </w:r>
    </w:p>
    <w:p>
      <w:pPr>
        <w:pStyle w:val="Style15"/>
        <w:keepNext w:val="0"/>
        <w:keepLines w:val="0"/>
        <w:widowControl w:val="0"/>
        <w:shd w:val="clear" w:color="auto" w:fill="auto"/>
        <w:bidi w:val="0"/>
        <w:spacing w:before="0" w:after="500" w:line="266" w:lineRule="auto"/>
        <w:ind w:right="0" w:firstLine="20"/>
        <w:jc w:val="left"/>
      </w:pPr>
      <w:r>
        <w:rPr>
          <w:rStyle w:val="CharStyle16"/>
        </w:rPr>
        <w:t>Действителен с 09.02.2026 по 05.05.2027</w:t>
      </w:r>
    </w:p>
    <w:p>
      <w:pPr>
        <w:pStyle w:val="Style22"/>
        <w:keepNext w:val="0"/>
        <w:keepLines w:val="0"/>
        <w:widowControl w:val="0"/>
        <w:shd w:val="clear" w:color="auto" w:fill="auto"/>
        <w:bidi w:val="0"/>
        <w:spacing w:before="0" w:line="240" w:lineRule="auto"/>
        <w:ind w:left="0" w:right="0" w:firstLine="0"/>
        <w:jc w:val="left"/>
      </w:pPr>
      <w:r>
        <w:rPr>
          <w:rStyle w:val="CharStyle23"/>
        </w:rPr>
        <w:t>Исп. Матюшенко А.А., 8(495) 784-75-05</w:t>
      </w:r>
    </w:p>
    <w:sectPr>
      <w:footnotePr>
        <w:pos w:val="pageBottom"/>
        <w:numFmt w:val="decimal"/>
        <w:numRestart w:val="continuous"/>
      </w:footnotePr>
      <w:type w:val="continuous"/>
      <w:pgSz w:w="11900" w:h="16840"/>
      <w:pgMar w:top="860" w:right="532" w:bottom="860" w:left="111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734695</wp:posOffset>
              </wp:positionH>
              <wp:positionV relativeFrom="page">
                <wp:posOffset>10207625</wp:posOffset>
              </wp:positionV>
              <wp:extent cx="725170" cy="103505"/>
              <wp:wrapNone/>
              <wp:docPr id="4" name="Shape 4"/>
              <a:graphic xmlns:a="http://schemas.openxmlformats.org/drawingml/2006/main">
                <a:graphicData uri="http://schemas.microsoft.com/office/word/2010/wordprocessingShape">
                  <wps:wsp>
                    <wps:cNvSpPr txBox="1"/>
                    <wps:spPr>
                      <a:xfrm>
                        <a:ext cx="72517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2026-25576</w:t>
                          </w:r>
                        </w:p>
                      </w:txbxContent>
                    </wps:txbx>
                    <wps:bodyPr wrap="none" lIns="0" tIns="0" rIns="0" bIns="0">
                      <a:spAutoFit/>
                    </wps:bodyPr>
                  </wps:wsp>
                </a:graphicData>
              </a:graphic>
            </wp:anchor>
          </w:drawing>
        </mc:Choice>
        <mc:Fallback>
          <w:pict>
            <v:shape id="_x0000_s1030" type="#_x0000_t202" style="position:absolute;margin-left:57.850000000000001pt;margin-top:803.75pt;width:57.100000000000001pt;height:8.15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2026-25576</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10214610</wp:posOffset>
              </wp:positionV>
              <wp:extent cx="731520" cy="128270"/>
              <wp:wrapNone/>
              <wp:docPr id="6" name="Shape 6"/>
              <a:graphic xmlns:a="http://schemas.openxmlformats.org/drawingml/2006/main">
                <a:graphicData uri="http://schemas.microsoft.com/office/word/2010/wordprocessingShape">
                  <wps:wsp>
                    <wps:cNvSpPr txBox="1"/>
                    <wps:spPr>
                      <a:xfrm>
                        <a:ext cx="731520"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2026-25576</w:t>
                          </w:r>
                        </w:p>
                      </w:txbxContent>
                    </wps:txbx>
                    <wps:bodyPr wrap="none" lIns="0" tIns="0" rIns="0" bIns="0">
                      <a:spAutoFit/>
                    </wps:bodyPr>
                  </wps:wsp>
                </a:graphicData>
              </a:graphic>
            </wp:anchor>
          </w:drawing>
        </mc:Choice>
        <mc:Fallback>
          <w:pict>
            <v:shape id="_x0000_s1032" type="#_x0000_t202" style="position:absolute;margin-left:57.pt;margin-top:804.30000000000007pt;width:57.600000000000001pt;height:10.1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2026-25576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3935095</wp:posOffset>
              </wp:positionH>
              <wp:positionV relativeFrom="page">
                <wp:posOffset>249555</wp:posOffset>
              </wp:positionV>
              <wp:extent cx="57785" cy="69850"/>
              <wp:wrapNone/>
              <wp:docPr id="2" name="Shape 2"/>
              <a:graphic xmlns:a="http://schemas.openxmlformats.org/drawingml/2006/main">
                <a:graphicData uri="http://schemas.microsoft.com/office/word/2010/wordprocessingShape">
                  <wps:wsp>
                    <wps:cNvSpPr txBox="1"/>
                    <wps:spPr>
                      <a:xfrm>
                        <a:ext cx="57785"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09.85000000000002pt;margin-top:19.650000000000002pt;width:4.5499999999999998pt;height:5.5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3)_"/>
    <w:basedOn w:val="DefaultParagraphFont"/>
    <w:link w:val="Style5"/>
    <w:rPr>
      <w:rFonts w:ascii="Times New Roman" w:eastAsia="Times New Roman" w:hAnsi="Times New Roman" w:cs="Times New Roman"/>
      <w:b w:val="0"/>
      <w:bCs w:val="0"/>
      <w:i w:val="0"/>
      <w:iCs w:val="0"/>
      <w:smallCaps w:val="0"/>
      <w:strike w:val="0"/>
      <w:color w:val="46609A"/>
      <w:sz w:val="19"/>
      <w:szCs w:val="19"/>
      <w:u w:val="none"/>
    </w:rPr>
  </w:style>
  <w:style w:type="character" w:customStyle="1" w:styleId="CharStyle10">
    <w:name w:val="Body text_"/>
    <w:basedOn w:val="DefaultParagraphFont"/>
    <w:link w:val="Style9"/>
    <w:rPr>
      <w:rFonts w:ascii="Times New Roman" w:eastAsia="Times New Roman" w:hAnsi="Times New Roman" w:cs="Times New Roman"/>
      <w:b w:val="0"/>
      <w:bCs w:val="0"/>
      <w:i w:val="0"/>
      <w:iCs w:val="0"/>
      <w:smallCaps w:val="0"/>
      <w:strike w:val="0"/>
      <w:sz w:val="28"/>
      <w:szCs w:val="28"/>
      <w:u w:val="none"/>
    </w:rPr>
  </w:style>
  <w:style w:type="character" w:customStyle="1" w:styleId="CharStyle12">
    <w:name w:val="Picture caption_"/>
    <w:basedOn w:val="DefaultParagraphFont"/>
    <w:link w:val="Style11"/>
    <w:rPr>
      <w:rFonts w:ascii="Georgia" w:eastAsia="Georgia" w:hAnsi="Georgia" w:cs="Georgia"/>
      <w:b w:val="0"/>
      <w:bCs w:val="0"/>
      <w:i w:val="0"/>
      <w:iCs w:val="0"/>
      <w:smallCaps w:val="0"/>
      <w:strike w:val="0"/>
      <w:color w:val="292929"/>
      <w:sz w:val="11"/>
      <w:szCs w:val="11"/>
      <w:u w:val="none"/>
    </w:rPr>
  </w:style>
  <w:style w:type="character" w:customStyle="1" w:styleId="CharStyle16">
    <w:name w:val="Body text (2)_"/>
    <w:basedOn w:val="DefaultParagraphFont"/>
    <w:link w:val="Style15"/>
    <w:rPr>
      <w:rFonts w:ascii="Arial" w:eastAsia="Arial" w:hAnsi="Arial" w:cs="Arial"/>
      <w:b w:val="0"/>
      <w:bCs w:val="0"/>
      <w:i w:val="0"/>
      <w:iCs w:val="0"/>
      <w:smallCaps w:val="0"/>
      <w:strike w:val="0"/>
      <w:color w:val="444444"/>
      <w:sz w:val="12"/>
      <w:szCs w:val="12"/>
      <w:u w:val="none"/>
    </w:rPr>
  </w:style>
  <w:style w:type="character" w:customStyle="1" w:styleId="CharStyle23">
    <w:name w:val="Body text (4)_"/>
    <w:basedOn w:val="DefaultParagraphFont"/>
    <w:link w:val="Style22"/>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3)"/>
    <w:basedOn w:val="Normal"/>
    <w:link w:val="CharStyle6"/>
    <w:pPr>
      <w:widowControl w:val="0"/>
      <w:shd w:val="clear" w:color="auto" w:fill="auto"/>
      <w:spacing w:after="230"/>
      <w:jc w:val="center"/>
    </w:pPr>
    <w:rPr>
      <w:rFonts w:ascii="Times New Roman" w:eastAsia="Times New Roman" w:hAnsi="Times New Roman" w:cs="Times New Roman"/>
      <w:b w:val="0"/>
      <w:bCs w:val="0"/>
      <w:i w:val="0"/>
      <w:iCs w:val="0"/>
      <w:smallCaps w:val="0"/>
      <w:strike w:val="0"/>
      <w:color w:val="46609A"/>
      <w:sz w:val="19"/>
      <w:szCs w:val="19"/>
      <w:u w:val="none"/>
    </w:rPr>
  </w:style>
  <w:style w:type="paragraph" w:styleId="Style9">
    <w:name w:val="Body text"/>
    <w:basedOn w:val="Normal"/>
    <w:link w:val="CharStyle10"/>
    <w:qFormat/>
    <w:pPr>
      <w:widowControl w:val="0"/>
      <w:shd w:val="clear" w:color="auto" w:fill="auto"/>
      <w:spacing w:line="252"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1">
    <w:name w:val="Picture caption"/>
    <w:basedOn w:val="Normal"/>
    <w:link w:val="CharStyle12"/>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5">
    <w:name w:val="Body text (2)"/>
    <w:basedOn w:val="Normal"/>
    <w:link w:val="CharStyle16"/>
    <w:pPr>
      <w:widowControl w:val="0"/>
      <w:shd w:val="clear" w:color="auto" w:fill="auto"/>
      <w:spacing w:after="50" w:line="252" w:lineRule="auto"/>
      <w:ind w:left="3800" w:firstLine="10"/>
    </w:pPr>
    <w:rPr>
      <w:rFonts w:ascii="Arial" w:eastAsia="Arial" w:hAnsi="Arial" w:cs="Arial"/>
      <w:b w:val="0"/>
      <w:bCs w:val="0"/>
      <w:i w:val="0"/>
      <w:iCs w:val="0"/>
      <w:smallCaps w:val="0"/>
      <w:strike w:val="0"/>
      <w:color w:val="444444"/>
      <w:sz w:val="12"/>
      <w:szCs w:val="12"/>
      <w:u w:val="none"/>
    </w:rPr>
  </w:style>
  <w:style w:type="paragraph" w:customStyle="1" w:styleId="Style22">
    <w:name w:val="Body text (4)"/>
    <w:basedOn w:val="Normal"/>
    <w:link w:val="CharStyle23"/>
    <w:pPr>
      <w:widowControl w:val="0"/>
      <w:shd w:val="clear" w:color="auto" w:fill="auto"/>
      <w:spacing w:after="10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png"/><Relationship Id="rId12" Type="http://schemas.openxmlformats.org/officeDocument/2006/relationships/image" Target="media/image2.png" TargetMode="Externa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 Id="rId17" Type="http://schemas.openxmlformats.org/officeDocument/2006/relationships/image" Target="media/image5.jpeg"/><Relationship Id="rId18" Type="http://schemas.openxmlformats.org/officeDocument/2006/relationships/image" Target="media/image5.jpeg" TargetMode="External"/></Relationships>
</file>