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800735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20.05.2026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21419/26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050000000000004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20.05.2026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21419/26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00" w:right="0" w:firstLine="0"/>
        <w:jc w:val="left"/>
      </w:pPr>
      <w:r>
        <w:rPr>
          <w:rStyle w:val="CharStyle7"/>
        </w:rPr>
        <w:t xml:space="preserve">ГБУ г. Москвы «Специальное предприятие при Правительстве Москвы» </w:t>
      </w:r>
      <w:r>
        <w:fldChar w:fldCharType="begin"/>
      </w:r>
      <w:r>
        <w:rPr/>
        <w:instrText> HYPERLINK "mailto:sppm@mos.ru" </w:instrText>
      </w:r>
      <w:r>
        <w:fldChar w:fldCharType="separate"/>
      </w:r>
      <w:r>
        <w:rPr>
          <w:rStyle w:val="CharStyle7"/>
          <w:lang w:val="en-US" w:eastAsia="en-US"/>
        </w:rPr>
        <w:t>sppm@mos.ru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00" w:right="0" w:firstLine="0"/>
        <w:jc w:val="both"/>
      </w:pPr>
      <w:r>
        <w:rPr>
          <w:rStyle w:val="CharStyle7"/>
        </w:rPr>
        <w:t xml:space="preserve">Департамент ГОЧСиПБ </w:t>
      </w:r>
      <w:r>
        <w:fldChar w:fldCharType="begin"/>
      </w:r>
      <w:r>
        <w:rPr/>
        <w:instrText> HYPERLINK "mailto:emercom@mos.ru" </w:instrText>
      </w:r>
      <w:r>
        <w:fldChar w:fldCharType="separate"/>
      </w:r>
      <w:r>
        <w:rPr>
          <w:rStyle w:val="CharStyle7"/>
          <w:lang w:val="en-US" w:eastAsia="en-US"/>
        </w:rPr>
        <w:t>emercom@mos.ru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0" w:line="240" w:lineRule="auto"/>
        <w:ind w:left="400" w:right="0" w:firstLine="0"/>
        <w:jc w:val="both"/>
      </w:pPr>
      <w:r>
        <w:rPr>
          <w:rStyle w:val="CharStyle7"/>
        </w:rPr>
        <w:t xml:space="preserve">ООО «Крокерт» </w:t>
      </w:r>
      <w:r>
        <w:fldChar w:fldCharType="begin"/>
      </w:r>
      <w:r>
        <w:rPr/>
        <w:instrText> HYPERLINK "mailto:info@krokert.ru" </w:instrText>
      </w:r>
      <w:r>
        <w:fldChar w:fldCharType="separate"/>
      </w:r>
      <w:r>
        <w:rPr>
          <w:rStyle w:val="CharStyle7"/>
          <w:lang w:val="en-US" w:eastAsia="en-US"/>
        </w:rPr>
        <w:t>info@krokert.ru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0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077/06/105-6200/2026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15.05.2026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главного специалиста 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ГБУ г. Москвы «Специальное предприятие при Правительстве Москвы»: Н.В. Замятиной (по доверенности </w:t>
      </w:r>
      <w:r>
        <w:rPr>
          <w:rStyle w:val="CharStyle7"/>
          <w:lang w:val="en-US" w:eastAsia="en-US"/>
        </w:rPr>
        <w:t xml:space="preserve">№ 02-23-42/26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27.02.2026), </w:t>
      </w:r>
      <w:r>
        <w:rPr>
          <w:rStyle w:val="CharStyle7"/>
        </w:rPr>
        <w:t xml:space="preserve">Ф.А. Жуковского (по доверенности </w:t>
      </w:r>
      <w:r>
        <w:rPr>
          <w:rStyle w:val="CharStyle7"/>
          <w:lang w:val="en-US" w:eastAsia="en-US"/>
        </w:rPr>
        <w:t xml:space="preserve">№ 02-23-76/26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14.05.2026);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ООО «Крокерт»: А.Л. Локшина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08.05.2026);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отсутствии представителей Департамента ГОЧСиПБ,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ООО «Крокерт»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г. Москвы «Специальное предприятие при Правительстве Москвы»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батарей аккумуляторных (10-ЭА-1-19-44- </w:t>
      </w:r>
      <w:r>
        <w:rPr>
          <w:rStyle w:val="CharStyle7"/>
          <w:lang w:val="en-US" w:eastAsia="en-US"/>
        </w:rPr>
        <w:t xml:space="preserve">26) </w:t>
      </w:r>
      <w:r>
        <w:rPr>
          <w:rStyle w:val="CharStyle7"/>
        </w:rPr>
        <w:t xml:space="preserve">(Закупка </w:t>
      </w:r>
      <w:r>
        <w:rPr>
          <w:rStyle w:val="CharStyle7"/>
          <w:lang w:val="en-US" w:eastAsia="en-US"/>
        </w:rPr>
        <w:t xml:space="preserve">№ 0173200002626000093)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электронный аукцион, аукцион) 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7"/>
        </w:rPr>
        <w:t xml:space="preserve">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комиссия Заказчика)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Заявитель обжалует действия комиссии по осуществлению закупок Заказчика, выразившиеся в неправомерном, по мнению Заявителя, применении преимуществ,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>при определении победителя конкурентной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06.05.2026 </w:t>
      </w:r>
      <w:r>
        <w:rPr>
          <w:rStyle w:val="CharStyle7"/>
        </w:rPr>
        <w:t xml:space="preserve">№ИЭА1 на участие в конкурентной процедуре подано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заявки участников с идентификационными номерами </w:t>
      </w:r>
      <w:r>
        <w:rPr>
          <w:rStyle w:val="CharStyle7"/>
          <w:lang w:val="en-US" w:eastAsia="en-US"/>
        </w:rPr>
        <w:t xml:space="preserve">3176975 </w:t>
      </w:r>
      <w:r>
        <w:rPr>
          <w:rStyle w:val="CharStyle7"/>
        </w:rPr>
        <w:t xml:space="preserve">и предложением цены контракта </w:t>
      </w:r>
      <w:r>
        <w:rPr>
          <w:rStyle w:val="CharStyle7"/>
          <w:lang w:val="en-US" w:eastAsia="en-US"/>
        </w:rPr>
        <w:t xml:space="preserve">2 764 179,50 </w:t>
      </w:r>
      <w:r>
        <w:rPr>
          <w:rStyle w:val="CharStyle7"/>
        </w:rPr>
        <w:t xml:space="preserve">руб., </w:t>
      </w:r>
      <w:r>
        <w:rPr>
          <w:rStyle w:val="CharStyle7"/>
          <w:lang w:val="en-US" w:eastAsia="en-US"/>
        </w:rPr>
        <w:t xml:space="preserve">3175087 </w:t>
      </w:r>
      <w:r>
        <w:rPr>
          <w:rStyle w:val="CharStyle7"/>
        </w:rPr>
        <w:t xml:space="preserve">и предложением цены контракта </w:t>
      </w:r>
      <w:r>
        <w:rPr>
          <w:rStyle w:val="CharStyle7"/>
          <w:lang w:val="en-US" w:eastAsia="en-US"/>
        </w:rPr>
        <w:t xml:space="preserve">2 738 102,33 </w:t>
      </w:r>
      <w:r>
        <w:rPr>
          <w:rStyle w:val="CharStyle7"/>
        </w:rPr>
        <w:t xml:space="preserve">руб., признанные соответствующими требованиям извещения об осуществлении аукциона, кроме того, участник с идентификационным номером заявки </w:t>
      </w:r>
      <w:r>
        <w:rPr>
          <w:rStyle w:val="CharStyle7"/>
          <w:lang w:val="en-US" w:eastAsia="en-US"/>
        </w:rPr>
        <w:t xml:space="preserve">3176975 </w:t>
      </w:r>
      <w:r>
        <w:rPr>
          <w:rStyle w:val="CharStyle7"/>
        </w:rPr>
        <w:t xml:space="preserve">признан победителем процедуры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Победитель), при этом ценовое предложение с учетом преимущества (пп. «а»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системе) составило </w:t>
      </w:r>
      <w:r>
        <w:rPr>
          <w:rStyle w:val="CharStyle7"/>
          <w:lang w:val="en-US" w:eastAsia="en-US"/>
        </w:rPr>
        <w:t xml:space="preserve">2 349 552,58 </w:t>
      </w:r>
      <w:r>
        <w:rPr>
          <w:rStyle w:val="CharStyle7"/>
        </w:rPr>
        <w:t>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205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ч.2 ст.14 Закона о контрактной системе Правительство Российской Федерации: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п.2, ч.4 ст.14 Закона о контрактной системе при осуществлении закупки товара если Правительством Российской Федерации установлено предусмотренное пп. «в» п.1 ч.2 ст.14 Закона о контрактной системе преимущество в отношении товара российского происхождения: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 присвоении в соответствии с пп. «б» п.1 ч.15 ст.48, пп. «б» п.1 ч.5 ст.49, пп. «б» п.1 ч.3 ст.50, пп. «в» п.1 ч.10 ст.73,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74, </w:t>
      </w:r>
      <w:r>
        <w:rPr>
          <w:rStyle w:val="CharStyle7"/>
        </w:rPr>
        <w:t>пп. «в» п.1 ч.9 ст.75, пп. «б» п.1 ч.5 ст.76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пп. «б» п.6 ч.12 ст.93 Закона о контрактной системе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случае заключения контракта с участником закупки, указанным в пп. «а» п.3 ч.4 ст.14 Закона о контрактной системе, контракт заключается без учета осуществленных в соответствии с пп. «а» п.3 ч.4 ст.14 Закона о контрактной системе снижения ценового предложения, цены за единицу товара либо увеличения ценового предложения;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53" w:left="1101" w:header="0" w:footer="225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при исполнении контракта допускается замена товара (с учетом особенностей, предусмотренных ч.7 ст.95 Закона о контрактной системе) </w:t>
      </w:r>
      <w:r>
        <w:rPr>
          <w:rStyle w:val="CharStyle7"/>
          <w:sz w:val="24"/>
          <w:szCs w:val="24"/>
          <w:lang w:val="en-US" w:eastAsia="en-US"/>
        </w:rPr>
        <w:t>2026-24859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исключительно на товар российского происхождения, если контракт предусматривает поставку товара российского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составе извещения в отношении закупаемых товаров Заказчиком установлены следующие меры, предусмотренные Постановлением </w:t>
      </w:r>
      <w:r>
        <w:rPr>
          <w:rStyle w:val="CharStyle7"/>
          <w:lang w:val="en-US" w:eastAsia="en-US"/>
        </w:rPr>
        <w:t>№ 1875: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 </w:t>
      </w:r>
      <w:r>
        <w:rPr>
          <w:rStyle w:val="CharStyle7"/>
          <w:lang w:val="en-US" w:eastAsia="en-US"/>
        </w:rPr>
        <w:t xml:space="preserve">1,2,4,5,6,7,8,9,10,11,12,14,15,16,17,18,19,22: </w:t>
      </w:r>
      <w:r>
        <w:rPr>
          <w:rStyle w:val="CharStyle7"/>
        </w:rPr>
        <w:t xml:space="preserve">Батарея аккумуляторная свинцово-кислотная стационарная, КТРУ </w:t>
      </w:r>
      <w:r>
        <w:rPr>
          <w:rStyle w:val="CharStyle7"/>
          <w:lang w:val="en-US" w:eastAsia="en-US"/>
        </w:rPr>
        <w:t xml:space="preserve">27.20.22.000-00000001: </w:t>
      </w:r>
      <w:r>
        <w:rPr>
          <w:rStyle w:val="CharStyle7"/>
        </w:rPr>
        <w:t>ограничение закупок товаров, происходящих из иностранных государств, выполняемых работ, оказываемых услуг иностранными лицами;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 </w:t>
      </w:r>
      <w:r>
        <w:rPr>
          <w:rStyle w:val="CharStyle7"/>
          <w:lang w:val="en-US" w:eastAsia="en-US"/>
        </w:rPr>
        <w:t xml:space="preserve">3,13,20,21: </w:t>
      </w:r>
      <w:r>
        <w:rPr>
          <w:rStyle w:val="CharStyle7"/>
        </w:rPr>
        <w:t xml:space="preserve">Батарея аккумуляторная литиевая, КТРУ </w:t>
      </w:r>
      <w:r>
        <w:rPr>
          <w:rStyle w:val="CharStyle7"/>
          <w:lang w:val="en-US" w:eastAsia="en-US"/>
        </w:rPr>
        <w:t xml:space="preserve">27.20.23.130-00000002: </w:t>
      </w:r>
      <w:r>
        <w:rPr>
          <w:rStyle w:val="CharStyle7"/>
        </w:rPr>
        <w:t>преимущество в отношении товаров российского происхождения, выполняемых работ, оказываемых услуг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определенные в соответствии с п.2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Абз.1 пп. «б» п.4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если объект закупки (предмет закупки) включает хотя бы один товар, не указанный в приложении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 и приложении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в отношении заявки, содержащей предложение о поставке товаров (в том числе поставляемых при выполнении закупаемых работ, оказании закупаемых услуг) только российского происхождения, применяется предусмотренное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преимущество при условии, что при осуществлении закупки в соответствии с Законом о контрактной системе в числе заявок на участие в закупке, которым в соответствии с 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49,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50, </w:t>
      </w:r>
      <w:r>
        <w:rPr>
          <w:rStyle w:val="CharStyle7"/>
        </w:rPr>
        <w:t xml:space="preserve">пп. «в»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10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73,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74, </w:t>
      </w:r>
      <w:r>
        <w:rPr>
          <w:rStyle w:val="CharStyle7"/>
        </w:rPr>
        <w:t xml:space="preserve">пп. «в»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75, </w:t>
      </w:r>
      <w:r>
        <w:rPr>
          <w:rStyle w:val="CharStyle7"/>
        </w:rPr>
        <w:t xml:space="preserve">пп. «б»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76 </w:t>
      </w:r>
      <w:r>
        <w:rPr>
          <w:rStyle w:val="CharStyle7"/>
        </w:rPr>
        <w:t>Закона о контрактной системе присваиваются порядковые номера, имеется заявка на участие в закупке, содержащая предложение о поставке хотя бы одного товара, происходящего из иностранного государства.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ч.12 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47" w:bottom="1379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пп. «а» п.1 ч.5 ст.49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 xml:space="preserve">ч.3 ст.49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п. </w:t>
      </w:r>
      <w:r>
        <w:rPr>
          <w:rStyle w:val="CharStyle7"/>
          <w:lang w:val="en-US" w:eastAsia="en-US"/>
        </w:rPr>
        <w:t xml:space="preserve">9 </w:t>
      </w:r>
      <w:r>
        <w:rPr>
          <w:rStyle w:val="CharStyle7"/>
        </w:rPr>
        <w:t>ч.3 ст.49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ст.14 Закона о контрактной системе. Заявке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участие в закупке победителя определения поставщика (подрядчика, исполнителя) присваивается первый номер.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установлено, что в составе заявок представлена следующая информация о стране происхождения предлагаемых к поставке товаров,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заявки Победителя с идентификационным номером </w:t>
      </w:r>
      <w:r>
        <w:rPr>
          <w:rStyle w:val="CharStyle7"/>
          <w:lang w:val="en-US" w:eastAsia="en-US"/>
        </w:rPr>
        <w:t xml:space="preserve">3176975 </w:t>
      </w:r>
      <w:r>
        <w:rPr>
          <w:rStyle w:val="CharStyle7"/>
        </w:rPr>
        <w:t>указаны, в том числе, следующие сведения о поставляемых товарах: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>Батарея аккумуляторная свинцово-кислотная стационарная Ограничение, Российская Федерация, Нет в реестре.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13 </w:t>
      </w:r>
      <w:r>
        <w:rPr>
          <w:rStyle w:val="CharStyle7"/>
        </w:rPr>
        <w:t xml:space="preserve">Батарея аккумуляторная литиевая, Преимущество, Российская Федерация, Вид реестра: </w:t>
      </w:r>
      <w:r>
        <w:rPr>
          <w:rStyle w:val="CharStyle7"/>
          <w:lang w:val="en-US" w:eastAsia="en-US"/>
        </w:rPr>
        <w:t>-.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70" w:val="left"/>
          <w:tab w:pos="2913" w:val="left"/>
          <w:tab w:pos="5394" w:val="left"/>
          <w:tab w:pos="84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Батарея</w:t>
        <w:tab/>
        <w:t>аккумуляторная</w:t>
        <w:tab/>
        <w:t>свинцово-кислотная</w:t>
        <w:tab/>
        <w:t>стационарная,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Ограничение, Российская Федерация, Нет в реестре.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670" w:val="left"/>
          <w:tab w:pos="2913" w:val="left"/>
          <w:tab w:pos="5394" w:val="left"/>
          <w:tab w:pos="84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>Батарея</w:t>
        <w:tab/>
        <w:t>аккумуляторная</w:t>
        <w:tab/>
        <w:t>свинцово-кислотная</w:t>
        <w:tab/>
        <w:t>стационарная,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Ограничение, Российская Федерация, Нет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в составе заявки Заявителя с идентификационным номером </w:t>
      </w:r>
      <w:r>
        <w:rPr>
          <w:rStyle w:val="CharStyle7"/>
          <w:lang w:val="en-US" w:eastAsia="en-US"/>
        </w:rPr>
        <w:t xml:space="preserve">3175087 </w:t>
      </w:r>
      <w:r>
        <w:rPr>
          <w:rStyle w:val="CharStyle7"/>
        </w:rPr>
        <w:t>указаны, в том числе, следующие сведения о поставляемых товарах: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Батарея аккумуляторная свинцово-кислотная стационарная, Ограничение, Китайская Народная Республика, Вид реестра: </w:t>
      </w:r>
      <w:r>
        <w:rPr>
          <w:rStyle w:val="CharStyle7"/>
          <w:lang w:val="en-US" w:eastAsia="en-US"/>
        </w:rPr>
        <w:t>-.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13 </w:t>
      </w:r>
      <w:r>
        <w:rPr>
          <w:rStyle w:val="CharStyle7"/>
        </w:rPr>
        <w:t xml:space="preserve">Батарея аккумуляторная литиевая, Преимущество, Китайская Народная Республика, Вид реестра: </w:t>
      </w:r>
      <w:r>
        <w:rPr>
          <w:rStyle w:val="CharStyle7"/>
          <w:lang w:val="en-US" w:eastAsia="en-US"/>
        </w:rPr>
        <w:t>-.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70" w:val="left"/>
          <w:tab w:pos="2913" w:val="left"/>
          <w:tab w:pos="5394" w:val="left"/>
          <w:tab w:pos="84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Батарея</w:t>
        <w:tab/>
        <w:t>аккумуляторная</w:t>
        <w:tab/>
        <w:t>свинцово-кислотная</w:t>
        <w:tab/>
        <w:t>стационарная,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Ограничение, Китайская Народная Республика, Вид реестра: </w:t>
      </w:r>
      <w:r>
        <w:rPr>
          <w:rStyle w:val="CharStyle7"/>
          <w:lang w:val="en-US" w:eastAsia="en-US"/>
        </w:rPr>
        <w:t>-.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70" w:val="left"/>
          <w:tab w:pos="2913" w:val="left"/>
          <w:tab w:pos="5394" w:val="left"/>
          <w:tab w:pos="842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>Батарея</w:t>
        <w:tab/>
        <w:t>аккумуляторная</w:t>
        <w:tab/>
        <w:t>свинцово-кислотная</w:t>
        <w:tab/>
        <w:t>стационарная,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Ограничение, Китайская Народная Республика, Вид реестра: </w:t>
      </w:r>
      <w:r>
        <w:rPr>
          <w:rStyle w:val="CharStyle7"/>
          <w:lang w:val="en-US" w:eastAsia="en-US"/>
        </w:rPr>
        <w:t>-.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по позициям с преимуществом победителем была продекларирована страна происхождения товара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Российская Федерация (как и по позициям с ограничением), в то время, как Заявителем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Китайская народная республика.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190" w:val="left"/>
          <w:tab w:pos="2639" w:val="left"/>
          <w:tab w:pos="4290" w:val="left"/>
          <w:tab w:pos="4910" w:val="left"/>
          <w:tab w:pos="6426" w:val="left"/>
          <w:tab w:pos="815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</w:t>
        <w:tab/>
        <w:t>связи с</w:t>
        <w:tab/>
        <w:t>тем, что</w:t>
        <w:tab/>
        <w:t>ни</w:t>
        <w:tab/>
        <w:t>один из</w:t>
        <w:tab/>
        <w:t>участников</w:t>
        <w:tab/>
        <w:t>не представил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013" w:val="left"/>
          <w:tab w:pos="4267" w:val="left"/>
          <w:tab w:pos="640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номер</w:t>
        <w:tab/>
        <w:t>реестровой записи</w:t>
        <w:tab/>
        <w:t>из реестра</w:t>
        <w:tab/>
        <w:t>российской промышленной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продукции или номер реестровой записи из евразийского реестра промышленных товаров по позициям с установленным ограничением по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механизм ограничения не сработал.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Вместе с этим Комиссия Управления отмечает, что на участие в закупке подана заявка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заявка победителя, по позициям, в отношении которого установлено преимущество, продекларировала страну происхождения товара Российская Федерация, при этом заявка Заявителя содержала предложение о поставке товаров со страной происхождения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Китайская Народная Республика, ввиду чего комиссией Заказчика правомерно применено преимущество в отношении товаров российского происхождения, выполняемых работ, оказываемых услуг российскими лицами к </w:t>
      </w:r>
      <w:r>
        <w:rPr>
          <w:rStyle w:val="CharStyle7"/>
          <w:sz w:val="24"/>
          <w:szCs w:val="24"/>
          <w:lang w:val="en-US" w:eastAsia="en-US"/>
        </w:rPr>
        <w:t>2026-24859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заявке победителя.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свою очередь, 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свидетельствующих о несоответствии заявки победителя требованиям извещения и Закона о контрактной системе, а также свидетельствующих о неправомерности действий комиссии по осуществлению закупок Заказчика при рассмотрении заявки участников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4, </w:t>
      </w:r>
      <w:r>
        <w:rPr>
          <w:rStyle w:val="CharStyle7"/>
        </w:rPr>
        <w:t xml:space="preserve">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предусмотренных ч.6 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1" w:val="left"/>
        </w:tabs>
        <w:bidi w:val="0"/>
        <w:spacing w:before="0" w:after="0" w:line="348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591" w:left="1105" w:header="0" w:footer="16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выявления недостоверной информации, содержащейся в заявке на участие в </w:t>
      </w:r>
      <w:r>
        <w:rPr>
          <w:rStyle w:val="CharStyle7"/>
          <w:sz w:val="24"/>
          <w:szCs w:val="24"/>
          <w:lang w:val="en-US" w:eastAsia="en-US"/>
        </w:rPr>
        <w:t>2026-24859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довод жалобы не находит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5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7"/>
        </w:rPr>
        <w:t>.Признать жалобу ООО «Крокерт» на действия комиссии ГБУ г. Москвы «Специальное предприятие при Правительстве Москвы»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29" w:val="left"/>
        </w:tabs>
        <w:bidi w:val="0"/>
        <w:spacing w:before="0" w:after="240" w:line="240" w:lineRule="auto"/>
        <w:ind w:left="0" w:right="0" w:firstLine="540"/>
        <w:jc w:val="both"/>
      </w:pPr>
      <w:r>
        <w:rPr>
          <w:rStyle w:val="CharStyle7"/>
        </w:rPr>
        <w:t>.Снять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41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200000000000003pt;margin-top:10.pt;width:145.20000000000002pt;height:19.900000000000002pt;z-index:-125829371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4" behindDoc="0" locked="0" layoutInCell="1" allowOverlap="1">
            <wp:simplePos x="0" y="0"/>
            <wp:positionH relativeFrom="page">
              <wp:posOffset>3155950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3573780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5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5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40000000000003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5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5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5" behindDoc="0" locked="0" layoutInCell="1" allowOverlap="1">
                <wp:simplePos x="0" y="0"/>
                <wp:positionH relativeFrom="page">
                  <wp:posOffset>5871845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2.35000000000002pt;margin-top:10.pt;width:102.7pt;height:19.900000000000002pt;z-index:-125829368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8"/>
          <w:color w:val="E7E7E7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МАРТЬЯНОВА ЕЛЕНА ДМИТРИЕВНА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00EA3D636CED58A70F15417FA130B2F6C</w:t>
      </w:r>
      <w:r>
        <w:rPr>
          <w:rStyle w:val="CharStyle21"/>
          <w:lang w:val="en-US" w:eastAsia="en-US"/>
        </w:rPr>
        <w:t>B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>Действителен с 20.04.2026 по 14.07.2027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50" w:bottom="141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19240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4295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7.950000000000003pt;margin-top:6.pt;width:105.85000000000001pt;height:19.900000000000002pt;z-index:-125829366;mso-wrap-distance-left:0;mso-wrap-distance-top: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635" distL="0" distR="1813560" simplePos="0" relativeHeight="125829389" behindDoc="0" locked="0" layoutInCell="1" allowOverlap="1">
            <wp:simplePos x="0" y="0"/>
            <wp:positionH relativeFrom="page">
              <wp:posOffset>3186430</wp:posOffset>
            </wp:positionH>
            <wp:positionV relativeFrom="paragraph">
              <wp:posOffset>176530</wp:posOffset>
            </wp:positionV>
            <wp:extent cx="298450" cy="347345"/>
            <wp:wrapTopAndBottom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3573780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5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5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40000000000003pt;margin-top:18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5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5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92405" distL="0" distR="0" simplePos="0" relativeHeight="125829390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76200</wp:posOffset>
                </wp:positionV>
                <wp:extent cx="1103630" cy="2527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78.65000000000003pt;margin-top:6.pt;width:86.900000000000006pt;height:19.900000000000002pt;z-index:-125829363;mso-wrap-distance-left:0;mso-wrap-distance-top:6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both"/>
        <w:rPr>
          <w:sz w:val="12"/>
          <w:szCs w:val="12"/>
        </w:rPr>
      </w:pPr>
      <w:r>
        <w:rPr>
          <w:rStyle w:val="CharStyle18"/>
          <w:color w:val="E7E7E7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Мацнева Мария Олеговна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00FDA1C988AAB27A9A34756B8D5F1D853</w:t>
      </w:r>
      <w:r>
        <w:rPr>
          <w:rStyle w:val="CharStyle21"/>
          <w:lang w:val="en-US" w:eastAsia="en-US"/>
        </w:rPr>
        <w:t>A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1"/>
        </w:rPr>
        <w:t>Действителен с 22.07.2025 по 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60350" distB="0" distL="0" distR="0" simplePos="0" relativeHeight="125829392" behindDoc="0" locked="0" layoutInCell="1" allowOverlap="1">
                <wp:simplePos x="0" y="0"/>
                <wp:positionH relativeFrom="page">
                  <wp:posOffset>3573780</wp:posOffset>
                </wp:positionH>
                <wp:positionV relativeFrom="paragraph">
                  <wp:posOffset>260350</wp:posOffset>
                </wp:positionV>
                <wp:extent cx="1722120" cy="25908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8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8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81.40000000000003pt;margin-top:20.5pt;width:135.59999999999999pt;height:20.400000000000002pt;z-index:-125829361;mso-wrap-distance-left:0;mso-wrap-distance-top:20.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8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8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67640" distL="0" distR="0" simplePos="0" relativeHeight="125829394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101600</wp:posOffset>
                </wp:positionV>
                <wp:extent cx="1310640" cy="25019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Е.С. Переверзева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61.65000000000003pt;margin-top:8.pt;width:103.2pt;height:19.699999999999999pt;z-index:-125829359;mso-wrap-distance-left:0;mso-wrap-distance-top:8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Е.С. Переверзева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600" w:right="0" w:firstLine="0"/>
        <w:jc w:val="left"/>
        <w:rPr>
          <w:sz w:val="12"/>
          <w:szCs w:val="12"/>
        </w:rPr>
      </w:pPr>
      <w:r>
        <w:rPr>
          <w:rStyle w:val="CharStyle18"/>
          <w:color w:val="E7E7E7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00FFF3ACD3A01A73F4C680C3941E3CA02</w:t>
      </w:r>
      <w:r>
        <w:rPr>
          <w:rStyle w:val="CharStyle21"/>
          <w:lang w:val="en-US" w:eastAsia="en-US"/>
        </w:rPr>
        <w:t>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right="0" w:firstLine="0"/>
        <w:jc w:val="left"/>
      </w:pPr>
      <w:r>
        <w:rPr>
          <w:rStyle w:val="CharStyle21"/>
        </w:rPr>
        <w:t>Действителен с 11.12.2025 по 06.03.2027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50" w:bottom="141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10214610</wp:posOffset>
              </wp:positionV>
              <wp:extent cx="70739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50000000000004pt;margin-top:804.30000000000007pt;width:55.700000000000003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5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2026-24859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5pt;margin-top:794.70000000000005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2026-24859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pt;margin-top:37.2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3025" cy="850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pt;margin-top:37.5pt;width:5.75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pt;margin-top:37.25pt;width:6.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3025" cy="8509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pt;margin-top:37.5pt;width:5.75pt;height:6.7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473075</wp:posOffset>
              </wp:positionV>
              <wp:extent cx="76200" cy="698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9.pt;margin-top:37.25pt;width:6.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4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4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26">
    <w:name w:val="Body text (5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50"/>
      <w:ind w:left="23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8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/Relationships>
</file>