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50" w:bottom="938"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0"/>
        </w:rPr>
        <w:t>2</w:t>
      </w:r>
      <w:r>
        <w:fldChar w:fldCharType="begin"/>
      </w:r>
      <w:r>
        <w:rPr/>
        <w:instrText> HYPERLINK "file://f207ca94-a13c-4ba0-b72d-f018c9eed8f1/" </w:instrText>
      </w:r>
      <w:r>
        <w:fldChar w:fldCharType="separate"/>
      </w:r>
      <w:r>
        <w:rPr>
          <w:rStyle w:val="CharStyle10"/>
        </w:rPr>
        <w:t>0,05.2026</w:t>
      </w:r>
      <w:r>
        <w:rPr>
          <w:rStyle w:val="CharStyle10"/>
          <w:u w:val="none"/>
        </w:rPr>
        <w:tab/>
      </w:r>
      <w:r>
        <w:fldChar w:fldCharType="end"/>
      </w:r>
      <w:r>
        <w:rPr>
          <w:rStyle w:val="CharStyle10"/>
          <w:u w:val="none"/>
        </w:rPr>
        <w:t xml:space="preserve">№ </w:t>
      </w:r>
      <w:r>
        <w:rPr>
          <w:rStyle w:val="CharStyle10"/>
        </w:rPr>
        <w:t>ИБ/10168/2</w:t>
      </w:r>
      <w:r>
        <w:rPr>
          <w:rStyle w:val="CharStyle10"/>
          <w:u w:val="none"/>
        </w:rPr>
        <w:t>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ООО "Фабрикант" </w:t>
      </w:r>
      <w:r>
        <w:fldChar w:fldCharType="begin"/>
      </w:r>
      <w:r>
        <w:rPr/>
        <w:instrText> HYPERLINK "mailto:info@fabrikant.ru" </w:instrText>
      </w:r>
      <w:r>
        <w:fldChar w:fldCharType="separate"/>
      </w:r>
      <w:r>
        <w:rPr>
          <w:rStyle w:val="CharStyle13"/>
          <w:sz w:val="28"/>
          <w:szCs w:val="28"/>
          <w:lang w:val="en-US" w:eastAsia="en-US"/>
        </w:rPr>
        <w:t>info@fabrikant.ru</w:t>
      </w:r>
      <w:r>
        <w:fldChar w:fldCharType="end"/>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Государственное бюджетное учреждение Нижегородской области «Государственное ветеринарное управление Пильнинского муниципального округа» </w:t>
      </w:r>
      <w:r>
        <w:fldChar w:fldCharType="begin"/>
      </w:r>
      <w:r>
        <w:rPr/>
        <w:instrText> HYPERLINK "mailto:vetpilna@yandex.ru" </w:instrText>
      </w:r>
      <w:r>
        <w:fldChar w:fldCharType="separate"/>
      </w:r>
      <w:r>
        <w:rPr>
          <w:rStyle w:val="CharStyle13"/>
          <w:sz w:val="28"/>
          <w:szCs w:val="28"/>
          <w:lang w:val="en-US" w:eastAsia="en-US"/>
        </w:rPr>
        <w:t>vetpilna@yandex.ru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sectPr>
          <w:footnotePr>
            <w:pos w:val="pageBottom"/>
            <w:numFmt w:val="decimal"/>
            <w:numRestart w:val="continuous"/>
          </w:footnotePr>
          <w:type w:val="continuous"/>
          <w:pgSz w:w="11900" w:h="16840"/>
          <w:pgMar w:top="385" w:right="1079" w:bottom="1366" w:left="1135" w:header="0" w:footer="3" w:gutter="0"/>
          <w:cols w:num="2" w:space="854"/>
          <w:noEndnote/>
          <w:rtlGutter w:val="0"/>
          <w:docGrid w:linePitch="360"/>
        </w:sectPr>
      </w:pPr>
      <w:r>
        <w:rPr>
          <w:rStyle w:val="CharStyle13"/>
          <w:sz w:val="28"/>
          <w:szCs w:val="28"/>
        </w:rPr>
        <w:t xml:space="preserve">ООО НПО «НАНОПРОДУКТ» </w:t>
      </w:r>
      <w:r>
        <w:fldChar w:fldCharType="begin"/>
      </w:r>
      <w:r>
        <w:rPr/>
        <w:instrText> HYPERLINK "mailto:office@pk-vortex.ru" </w:instrText>
      </w:r>
      <w:r>
        <w:fldChar w:fldCharType="separate"/>
      </w:r>
      <w:r>
        <w:rPr>
          <w:rStyle w:val="CharStyle13"/>
          <w:sz w:val="28"/>
          <w:szCs w:val="28"/>
          <w:lang w:val="en-US" w:eastAsia="en-US"/>
        </w:rPr>
        <w:t>office@pk-vortex.ru</w:t>
      </w:r>
      <w:r>
        <w:fldChar w:fldCharType="end"/>
      </w:r>
    </w:p>
    <w:p>
      <w:pPr>
        <w:widowControl w:val="0"/>
        <w:spacing w:line="240" w:lineRule="exact"/>
        <w:rPr>
          <w:sz w:val="19"/>
          <w:szCs w:val="19"/>
        </w:rPr>
      </w:pPr>
    </w:p>
    <w:p>
      <w:pPr>
        <w:widowControl w:val="0"/>
        <w:spacing w:before="76" w:after="7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23" w:right="0" w:bottom="1305"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052/06/105-1184/2026</w:t>
      </w:r>
    </w:p>
    <w:p>
      <w:pPr>
        <w:pStyle w:val="Style1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185545" cy="231775"/>
                <wp:wrapSquare wrapText="right"/>
                <wp:docPr id="9" name="Shape 9"/>
                <a:graphic xmlns:a="http://schemas.openxmlformats.org/drawingml/2006/main">
                  <a:graphicData uri="http://schemas.microsoft.com/office/word/2010/wordprocessingShape">
                    <wps:wsp>
                      <wps:cNvSpPr txBox="1"/>
                      <wps:spPr>
                        <a:xfrm>
                          <a:ext cx="1185545"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15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93.350000000000009pt;height:18.2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15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4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291" w:val="left"/>
        </w:tabs>
        <w:bidi w:val="0"/>
        <w:spacing w:before="0" w:after="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89050" cy="612775"/>
                <wp:wrapSquare wrapText="right"/>
                <wp:docPr id="11" name="Shape 11"/>
                <a:graphic xmlns:a="http://schemas.openxmlformats.org/drawingml/2006/main">
                  <a:graphicData uri="http://schemas.microsoft.com/office/word/2010/wordprocessingShape">
                    <wps:wsp>
                      <wps:cNvSpPr txBox="1"/>
                      <wps:spPr>
                        <a:xfrm>
                          <a:ext cx="1289050" cy="612775"/>
                        </a:xfrm>
                        <a:prstGeom prst="rect"/>
                        <a:noFill/>
                      </wps:spPr>
                      <wps:txbx>
                        <w:txbxContent>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Колденкова Д.А.</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7" type="#_x0000_t202" style="position:absolute;margin-left:55.800000000000004pt;margin-top:1.pt;width:101.5pt;height:4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Колденкова Д.А.</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Лебедевой Ю.К.</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291" w:val="left"/>
        </w:tabs>
        <w:bidi w:val="0"/>
        <w:spacing w:before="0" w:after="0" w:line="240" w:lineRule="auto"/>
        <w:ind w:left="0" w:right="0" w:firstLine="0"/>
        <w:jc w:val="left"/>
      </w:pPr>
      <w:r>
        <w:rPr>
          <w:rStyle w:val="CharStyle13"/>
        </w:rPr>
        <w:t>члена комиссии, специалиста-эксперта отдела контроля торгов,</w:t>
      </w:r>
    </w:p>
    <w:p>
      <w:pPr>
        <w:pStyle w:val="Style12"/>
        <w:keepNext w:val="0"/>
        <w:keepLines w:val="0"/>
        <w:widowControl w:val="0"/>
        <w:numPr>
          <w:ilvl w:val="0"/>
          <w:numId w:val="3"/>
        </w:numPr>
        <w:shd w:val="clear" w:color="auto" w:fill="auto"/>
        <w:tabs>
          <w:tab w:pos="291" w:val="left"/>
        </w:tabs>
        <w:bidi w:val="0"/>
        <w:spacing w:before="0" w:after="260" w:line="240" w:lineRule="auto"/>
        <w:ind w:left="340" w:right="0" w:hanging="34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260" w:line="240" w:lineRule="auto"/>
        <w:ind w:left="2580" w:right="0" w:hanging="2580"/>
        <w:jc w:val="both"/>
      </w:pPr>
      <w:r>
        <w:rPr>
          <w:rStyle w:val="CharStyle13"/>
        </w:rPr>
        <w:t>при участии посредством видео-конференц-связи:</w:t>
      </w:r>
    </w:p>
    <w:p>
      <w:pPr>
        <w:pStyle w:val="Style12"/>
        <w:keepNext w:val="0"/>
        <w:keepLines w:val="0"/>
        <w:widowControl w:val="0"/>
        <w:numPr>
          <w:ilvl w:val="0"/>
          <w:numId w:val="5"/>
        </w:numPr>
        <w:shd w:val="clear" w:color="auto" w:fill="auto"/>
        <w:tabs>
          <w:tab w:pos="291" w:val="left"/>
        </w:tabs>
        <w:bidi w:val="0"/>
        <w:spacing w:before="0" w:after="0" w:line="240" w:lineRule="auto"/>
        <w:ind w:left="2580" w:right="0" w:hanging="2580"/>
        <w:jc w:val="both"/>
      </w:pPr>
      <w:r>
        <w:rPr>
          <w:rStyle w:val="CharStyle13"/>
        </w:rPr>
        <w:t>Пушина А.А. - представителя ООО НПО «НАНОПРОДУКТ» по доверенности от 04.03.2026 №12;</w:t>
      </w:r>
    </w:p>
    <w:p>
      <w:pPr>
        <w:pStyle w:val="Style12"/>
        <w:keepNext w:val="0"/>
        <w:keepLines w:val="0"/>
        <w:widowControl w:val="0"/>
        <w:numPr>
          <w:ilvl w:val="0"/>
          <w:numId w:val="5"/>
        </w:numPr>
        <w:shd w:val="clear" w:color="auto" w:fill="auto"/>
        <w:tabs>
          <w:tab w:pos="291" w:val="left"/>
          <w:tab w:pos="5299" w:val="left"/>
          <w:tab w:pos="8549" w:val="left"/>
        </w:tabs>
        <w:bidi w:val="0"/>
        <w:spacing w:before="0" w:after="0" w:line="240" w:lineRule="auto"/>
        <w:ind w:left="2580" w:right="0" w:hanging="2580"/>
        <w:jc w:val="both"/>
      </w:pPr>
      <w:r>
        <w:rPr>
          <w:rStyle w:val="CharStyle13"/>
        </w:rPr>
        <w:t>Артамоновой Л.А. - представителя ГБУ</w:t>
        <w:tab/>
        <w:t>НО «Госветуправление</w:t>
        <w:tab/>
        <w:t>Пильнинского</w:t>
      </w:r>
    </w:p>
    <w:p>
      <w:pPr>
        <w:pStyle w:val="Style12"/>
        <w:keepNext w:val="0"/>
        <w:keepLines w:val="0"/>
        <w:widowControl w:val="0"/>
        <w:shd w:val="clear" w:color="auto" w:fill="auto"/>
        <w:bidi w:val="0"/>
        <w:spacing w:before="0" w:after="0" w:line="240" w:lineRule="auto"/>
        <w:ind w:left="2580" w:right="0" w:firstLine="0"/>
        <w:jc w:val="left"/>
      </w:pPr>
      <w:r>
        <w:rPr>
          <w:rStyle w:val="CharStyle13"/>
        </w:rPr>
        <w:t>муниципального округа» по доверенности от 20.04.2026 №1;</w:t>
      </w:r>
    </w:p>
    <w:p>
      <w:pPr>
        <w:pStyle w:val="Style12"/>
        <w:keepNext w:val="0"/>
        <w:keepLines w:val="0"/>
        <w:widowControl w:val="0"/>
        <w:numPr>
          <w:ilvl w:val="0"/>
          <w:numId w:val="5"/>
        </w:numPr>
        <w:shd w:val="clear" w:color="auto" w:fill="auto"/>
        <w:tabs>
          <w:tab w:pos="291" w:val="left"/>
          <w:tab w:pos="5299" w:val="left"/>
          <w:tab w:pos="8549" w:val="left"/>
        </w:tabs>
        <w:bidi w:val="0"/>
        <w:spacing w:before="0" w:after="0" w:line="240" w:lineRule="auto"/>
        <w:ind w:left="0" w:right="0" w:firstLine="0"/>
        <w:jc w:val="both"/>
      </w:pPr>
      <w:r>
        <w:rPr>
          <w:rStyle w:val="CharStyle13"/>
        </w:rPr>
        <w:t>Кондаковой Ю.А. - представителя ГБУ</w:t>
        <w:tab/>
        <w:t>НО «Госветуправление</w:t>
        <w:tab/>
        <w:t>Пильнинского</w:t>
      </w:r>
    </w:p>
    <w:p>
      <w:pPr>
        <w:pStyle w:val="Style12"/>
        <w:keepNext w:val="0"/>
        <w:keepLines w:val="0"/>
        <w:widowControl w:val="0"/>
        <w:shd w:val="clear" w:color="auto" w:fill="auto"/>
        <w:bidi w:val="0"/>
        <w:spacing w:before="0" w:after="260" w:line="240" w:lineRule="auto"/>
        <w:ind w:left="2580" w:right="0" w:firstLine="0"/>
        <w:jc w:val="left"/>
      </w:pPr>
      <w:r>
        <w:rPr>
          <w:rStyle w:val="CharStyle13"/>
        </w:rPr>
        <w:t>муниципального округа» по доверенности от 20.04.2026 №2,</w:t>
      </w:r>
    </w:p>
    <w:p>
      <w:pPr>
        <w:pStyle w:val="Style12"/>
        <w:keepNext w:val="0"/>
        <w:keepLines w:val="0"/>
        <w:widowControl w:val="0"/>
        <w:shd w:val="clear" w:color="auto" w:fill="auto"/>
        <w:bidi w:val="0"/>
        <w:spacing w:before="0" w:after="260" w:line="240" w:lineRule="auto"/>
        <w:ind w:left="0" w:right="0" w:firstLine="0"/>
        <w:jc w:val="both"/>
      </w:pPr>
      <w:r>
        <w:rPr>
          <w:rStyle w:val="CharStyle13"/>
        </w:rPr>
        <w:t>рассмотрев посредством видео-конференц-связи жалобу ООО НПО «НАНОПРОДУКТ» (далее также – Заявитель) о нарушении Государственным бюджетным учреждением Нижегородской области «Государственное ветеринарное управление Пильнинского муниципального округа» (далее – ГБУ НО «Госветуправление Пильнинского муниципального округа», Заказчик) требований законодательства Российской Федерации о контрактной системе в сфере закупок при определении поставщика путем проведения</w:t>
      </w:r>
    </w:p>
    <w:p>
      <w:pPr>
        <w:widowControl w:val="0"/>
        <w:spacing w:line="1" w:lineRule="exact"/>
      </w:pPr>
      <w:r>
        <w:drawing>
          <wp:anchor distT="101600" distB="0" distL="0" distR="0" simplePos="0" relativeHeight="125829382" behindDoc="0" locked="0" layoutInCell="1" allowOverlap="1">
            <wp:simplePos x="0" y="0"/>
            <wp:positionH relativeFrom="page">
              <wp:posOffset>930910</wp:posOffset>
            </wp:positionH>
            <wp:positionV relativeFrom="paragraph">
              <wp:posOffset>101600</wp:posOffset>
            </wp:positionV>
            <wp:extent cx="201295" cy="45085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01295" cy="450850"/>
                    </a:xfrm>
                    <a:prstGeom prst="rect"/>
                  </pic:spPr>
                </pic:pic>
              </a:graphicData>
            </a:graphic>
          </wp:anchor>
        </w:drawing>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запроса котировок в электронной форме на право заключения контракта по объекту закупки: «Средство дезинфицирующее», номер извещения </w:t>
      </w:r>
      <w:r>
        <w:rPr>
          <w:rStyle w:val="CharStyle13"/>
          <w:lang w:val="en-US" w:eastAsia="en-US"/>
        </w:rPr>
        <w:t>0332200051426000001,</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запроса котировок в электронной форме на право заключения контракта по объекту закупки: «Средство дезинфицирующее», номер извещения </w:t>
      </w:r>
      <w:r>
        <w:rPr>
          <w:rStyle w:val="CharStyle13"/>
          <w:lang w:val="en-US" w:eastAsia="en-US"/>
        </w:rPr>
        <w:t>0332200051426000001.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7"/>
        </w:numPr>
        <w:shd w:val="clear" w:color="auto" w:fill="auto"/>
        <w:tabs>
          <w:tab w:pos="1071" w:val="left"/>
        </w:tabs>
        <w:bidi w:val="0"/>
        <w:spacing w:before="0" w:after="0" w:line="240" w:lineRule="auto"/>
        <w:ind w:left="0" w:right="0" w:firstLine="760"/>
        <w:jc w:val="both"/>
      </w:pPr>
      <w:r>
        <w:rPr>
          <w:rStyle w:val="CharStyle13"/>
          <w:lang w:val="en-US" w:eastAsia="en-US"/>
        </w:rPr>
        <w:t xml:space="preserve">24.04.2026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ЭТП «Фабрикант» </w:t>
      </w:r>
      <w:r>
        <w:rPr>
          <w:rStyle w:val="CharStyle13"/>
          <w:lang w:val="en-US" w:eastAsia="en-US"/>
        </w:rPr>
        <w:t xml:space="preserve">– </w:t>
      </w:r>
      <w:r>
        <w:rPr>
          <w:rStyle w:val="CharStyle13"/>
        </w:rPr>
        <w:t xml:space="preserve">размещено извещение по объекту закупки: «Средство дезинфицирующее», номер извещения </w:t>
      </w:r>
      <w:r>
        <w:rPr>
          <w:rStyle w:val="CharStyle13"/>
          <w:lang w:val="en-US" w:eastAsia="en-US"/>
        </w:rPr>
        <w:t>0332200051426000001.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Начальная (максимальная) цена контракта </w:t>
      </w:r>
      <w:r>
        <w:rPr>
          <w:rStyle w:val="CharStyle13"/>
          <w:lang w:val="en-US" w:eastAsia="en-US"/>
        </w:rPr>
        <w:t xml:space="preserve">— 1 617 000,00 </w:t>
      </w:r>
      <w:r>
        <w:rPr>
          <w:rStyle w:val="CharStyle13"/>
        </w:rPr>
        <w:t>руб.</w:t>
      </w:r>
    </w:p>
    <w:p>
      <w:pPr>
        <w:pStyle w:val="Style12"/>
        <w:keepNext w:val="0"/>
        <w:keepLines w:val="0"/>
        <w:widowControl w:val="0"/>
        <w:numPr>
          <w:ilvl w:val="0"/>
          <w:numId w:val="7"/>
        </w:numPr>
        <w:shd w:val="clear" w:color="auto" w:fill="auto"/>
        <w:tabs>
          <w:tab w:pos="1076" w:val="left"/>
        </w:tabs>
        <w:bidi w:val="0"/>
        <w:spacing w:before="0" w:after="0" w:line="240" w:lineRule="auto"/>
        <w:ind w:left="0" w:right="0" w:firstLine="760"/>
        <w:jc w:val="both"/>
      </w:pPr>
      <w:r>
        <w:rPr>
          <w:rStyle w:val="CharStyle13"/>
        </w:rPr>
        <w:t xml:space="preserve">Заявитель в жалобе указывает, что в отношении его заявки на участие </w:t>
      </w:r>
      <w:r>
        <w:rPr>
          <w:rStyle w:val="CharStyle13"/>
          <w:lang w:val="en-US" w:eastAsia="en-US"/>
        </w:rPr>
        <w:t xml:space="preserve">№2, </w:t>
      </w:r>
      <w:r>
        <w:rPr>
          <w:rStyle w:val="CharStyle13"/>
        </w:rPr>
        <w:t xml:space="preserve">принято решение об отклонении заявки, а именно «п. </w:t>
      </w:r>
      <w:r>
        <w:rPr>
          <w:rStyle w:val="CharStyle13"/>
          <w:lang w:val="en-US" w:eastAsia="en-US"/>
        </w:rPr>
        <w:t xml:space="preserve">8. </w:t>
      </w:r>
      <w:r>
        <w:rPr>
          <w:rStyle w:val="CharStyle13"/>
        </w:rPr>
        <w:t xml:space="preserve">Ч.12.ст. </w:t>
      </w:r>
      <w:r>
        <w:rPr>
          <w:rStyle w:val="CharStyle13"/>
          <w:lang w:val="en-US" w:eastAsia="en-US"/>
        </w:rPr>
        <w:t xml:space="preserve">48 </w:t>
      </w:r>
      <w:r>
        <w:rPr>
          <w:rStyle w:val="CharStyle13"/>
        </w:rPr>
        <w:t xml:space="preserve">44-ФЗ </w:t>
      </w:r>
      <w:r>
        <w:rPr>
          <w:rStyle w:val="CharStyle13"/>
          <w:lang w:val="en-US" w:eastAsia="en-US"/>
        </w:rPr>
        <w:t xml:space="preserve">— </w:t>
      </w:r>
      <w:r>
        <w:rPr>
          <w:rStyle w:val="CharStyle13"/>
        </w:rPr>
        <w:t xml:space="preserve">выявление недостоверной информации, содержащейся в заявке на участие в закупке. Причина несоответствия: Согласно приложенным документам и информации указанной в реестре российской промышленной продукции (далее </w:t>
      </w:r>
      <w:r>
        <w:rPr>
          <w:rStyle w:val="CharStyle13"/>
          <w:lang w:val="en-US" w:eastAsia="en-US"/>
        </w:rPr>
        <w:t xml:space="preserve">— </w:t>
      </w:r>
      <w:r>
        <w:rPr>
          <w:rStyle w:val="CharStyle13"/>
        </w:rPr>
        <w:t xml:space="preserve">реестр) (номер </w:t>
      </w:r>
      <w:r>
        <w:rPr>
          <w:rStyle w:val="CharStyle13"/>
          <w:lang w:val="en-US" w:eastAsia="en-US"/>
        </w:rPr>
        <w:t xml:space="preserve">10802451) </w:t>
      </w:r>
      <w:r>
        <w:rPr>
          <w:rStyle w:val="CharStyle13"/>
        </w:rPr>
        <w:t>действующие вещества предлагаемого к поставке товара не соответствуют требованиям технического задания».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данном же случае заявка составлена Заявителем с соблюдением всех требований указанных в извещении, однако Состав «Средства Дезинфицирующего» </w:t>
      </w:r>
      <w:r>
        <w:rPr>
          <w:rStyle w:val="CharStyle13"/>
          <w:lang w:val="en-US" w:eastAsia="en-US"/>
        </w:rPr>
        <w:t xml:space="preserve">— </w:t>
      </w:r>
      <w:r>
        <w:rPr>
          <w:rStyle w:val="CharStyle13"/>
        </w:rPr>
        <w:t xml:space="preserve">идентификатор </w:t>
      </w:r>
      <w:r>
        <w:rPr>
          <w:rStyle w:val="CharStyle13"/>
          <w:lang w:val="en-US" w:eastAsia="en-US"/>
        </w:rPr>
        <w:t xml:space="preserve">212683477, </w:t>
      </w:r>
      <w:r>
        <w:rPr>
          <w:rStyle w:val="CharStyle13"/>
        </w:rPr>
        <w:t xml:space="preserve">код позиции </w:t>
      </w:r>
      <w:r>
        <w:rPr>
          <w:rStyle w:val="CharStyle13"/>
          <w:lang w:val="en-US" w:eastAsia="en-US"/>
        </w:rPr>
        <w:t xml:space="preserve">20.20.14.000, </w:t>
      </w:r>
      <w:r>
        <w:rPr>
          <w:rStyle w:val="CharStyle13"/>
        </w:rPr>
        <w:t>где в извещении запрошен с указанием действующего вещества, точно определённого (без допуска в промежутке возможных значений) может быть определён только путём лабораторных исследований, а равно указанные показатели состава могут быть известны поставщикам только при условии полной готовности продукта, а равно из наличия у поставщика к моменту проведения запроса котировок в электронной форме и наличии проведённых лабораторных исследований по готовому продукту.</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28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пункта </w:t>
      </w:r>
      <w:r>
        <w:rPr>
          <w:rStyle w:val="CharStyle13"/>
          <w:lang w:val="en-US" w:eastAsia="en-US"/>
        </w:rPr>
        <w:t xml:space="preserve">3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для участия в конкурентном способе заявка на участие в закупке, если иное не предусмотрено Федеральным законом №44-ФЗ, должна содержать информацию и документы, предусмотренные нормативными правовыми актами, принятыми в соответствии с частями </w:t>
      </w:r>
      <w:r>
        <w:rPr>
          <w:rStyle w:val="CharStyle13"/>
          <w:lang w:val="en-US" w:eastAsia="en-US"/>
        </w:rPr>
        <w:t xml:space="preserve">3 </w:t>
      </w:r>
      <w:r>
        <w:rPr>
          <w:rStyle w:val="CharStyle13"/>
        </w:rPr>
        <w:t xml:space="preserve">и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в целях защиты основ конституционного строя, обеспечения обороны страны и безопасности государства,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Pr>
          <w:rStyle w:val="CharStyle13"/>
          <w:lang w:val="en-US" w:eastAsia="en-US"/>
        </w:rPr>
        <w:t xml:space="preserve">- </w:t>
      </w:r>
      <w:r>
        <w:rPr>
          <w:rStyle w:val="CharStyle13"/>
        </w:rPr>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Постановлением Правительства Российской Федерации от </w:t>
      </w:r>
      <w:r>
        <w:rPr>
          <w:rStyle w:val="CharStyle13"/>
          <w:lang w:val="en-US" w:eastAsia="en-US"/>
        </w:rPr>
        <w:t xml:space="preserve">23.12.2024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№1875) </w:t>
      </w:r>
      <w:r>
        <w:rPr>
          <w:rStyle w:val="CharStyle13"/>
        </w:rPr>
        <w:t xml:space="preserve">установлено, что в соответствии со статьями </w:t>
      </w:r>
      <w:r>
        <w:rPr>
          <w:rStyle w:val="CharStyle13"/>
          <w:lang w:val="en-US" w:eastAsia="en-US"/>
        </w:rPr>
        <w:t xml:space="preserve">14, 22, 27, 33 </w:t>
      </w:r>
      <w:r>
        <w:rPr>
          <w:rStyle w:val="CharStyle13"/>
        </w:rPr>
        <w:t xml:space="preserve">и </w:t>
      </w:r>
      <w:r>
        <w:rPr>
          <w:rStyle w:val="CharStyle13"/>
          <w:lang w:val="en-US" w:eastAsia="en-US"/>
        </w:rPr>
        <w:t xml:space="preserve">34 </w:t>
      </w:r>
      <w:r>
        <w:rPr>
          <w:rStyle w:val="CharStyle13"/>
        </w:rPr>
        <w:t xml:space="preserve">Федерального закона "О контрактной системе в сфере закупок товаров, работ, услуг для обеспечения государственных и муниципальных нужд", статьями </w:t>
      </w:r>
      <w:r>
        <w:rPr>
          <w:rStyle w:val="CharStyle13"/>
          <w:lang w:val="en-US" w:eastAsia="en-US"/>
        </w:rPr>
        <w:t xml:space="preserve">3 </w:t>
      </w:r>
      <w:r>
        <w:rPr>
          <w:rStyle w:val="CharStyle13"/>
        </w:rPr>
        <w:t xml:space="preserve">и </w:t>
      </w:r>
      <w:r>
        <w:rPr>
          <w:rStyle w:val="CharStyle13"/>
          <w:lang w:val="en-US" w:eastAsia="en-US"/>
        </w:rPr>
        <w:t xml:space="preserve">3.1-4 </w:t>
      </w:r>
      <w:r>
        <w:rPr>
          <w:rStyle w:val="CharStyle13"/>
        </w:rPr>
        <w:t>Федерального закона "О закупках товаров, работ, услуг отдельными видами юридических лиц" Правительство Российской Федерации устанавливает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3"/>
          <w:lang w:val="en-US" w:eastAsia="en-US"/>
        </w:rPr>
        <w:t xml:space="preserve">- </w:t>
      </w:r>
      <w:r>
        <w:rPr>
          <w:rStyle w:val="CharStyle13"/>
        </w:rPr>
        <w:t xml:space="preserve">иностранные лица), по перечню согласно приложению </w:t>
      </w:r>
      <w:r>
        <w:rPr>
          <w:rStyle w:val="CharStyle13"/>
          <w:lang w:val="en-US" w:eastAsia="en-US"/>
        </w:rPr>
        <w:t xml:space="preserve">№1, </w:t>
      </w:r>
      <w:r>
        <w:rPr>
          <w:rStyle w:val="CharStyle13"/>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3"/>
          <w:lang w:val="en-US" w:eastAsia="en-US"/>
        </w:rPr>
        <w:t>№2;</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преимущество в отношении товаров российского происхождения (в том числе</w:t>
      </w:r>
    </w:p>
    <w:p>
      <w:pPr>
        <w:pStyle w:val="Style12"/>
        <w:keepNext w:val="0"/>
        <w:keepLines w:val="0"/>
        <w:widowControl w:val="0"/>
        <w:shd w:val="clear" w:color="auto" w:fill="auto"/>
        <w:bidi w:val="0"/>
        <w:spacing w:before="0" w:after="0" w:line="240" w:lineRule="auto"/>
        <w:ind w:left="0" w:right="0" w:firstLine="0"/>
        <w:jc w:val="both"/>
      </w:pPr>
      <w:r>
        <w:rPr>
          <w:rStyle w:val="CharStyle13"/>
        </w:rPr>
        <w:t>поставляемых при выполнении закупаемых работ, оказании закупаемых услуг).</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Заказчиком установлены следующие коды ОКПД2 </w:t>
      </w:r>
      <w:r>
        <w:rPr>
          <w:rStyle w:val="CharStyle13"/>
          <w:lang w:val="en-US" w:eastAsia="en-US"/>
        </w:rPr>
        <w:t>— 20.20.14.000.</w:t>
      </w:r>
    </w:p>
    <w:p>
      <w:pPr>
        <w:pStyle w:val="Style12"/>
        <w:keepNext w:val="0"/>
        <w:keepLines w:val="0"/>
        <w:widowControl w:val="0"/>
        <w:shd w:val="clear" w:color="auto" w:fill="auto"/>
        <w:bidi w:val="0"/>
        <w:spacing w:before="0" w:after="0" w:line="240" w:lineRule="auto"/>
        <w:ind w:left="0" w:right="0" w:firstLine="780"/>
        <w:jc w:val="both"/>
      </w:pPr>
      <w:r>
        <w:rPr>
          <w:rStyle w:val="CharStyle13"/>
        </w:rPr>
        <w:t>Заказчиком в извещении о проведении закупочной процедуры установлено преимущество в отношении российского товара.</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Пунктом </w:t>
      </w:r>
      <w:r>
        <w:rPr>
          <w:rStyle w:val="CharStyle13"/>
          <w:lang w:val="en-US" w:eastAsia="en-US"/>
        </w:rPr>
        <w:t xml:space="preserve">3 </w:t>
      </w:r>
      <w:r>
        <w:rPr>
          <w:rStyle w:val="CharStyle13"/>
        </w:rPr>
        <w:t xml:space="preserve">Постановления Правительства Российской Федерации от </w:t>
      </w:r>
      <w:r>
        <w:rPr>
          <w:rStyle w:val="CharStyle13"/>
          <w:lang w:val="en-US" w:eastAsia="en-US"/>
        </w:rPr>
        <w:t xml:space="preserve">23.12.2024 №1875 </w:t>
      </w:r>
      <w:r>
        <w:rPr>
          <w:rStyle w:val="CharStyle13"/>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а) для подтверждения происхождения товаров,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№1 </w:t>
      </w:r>
      <w:r>
        <w:rPr>
          <w:rStyle w:val="CharStyle13"/>
        </w:rPr>
        <w:t xml:space="preserve">к настоящему постановлению,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№2 </w:t>
      </w:r>
      <w:r>
        <w:rPr>
          <w:rStyle w:val="CharStyle13"/>
        </w:rPr>
        <w:t xml:space="preserve">к настоящему постановлению, приложении </w:t>
      </w:r>
      <w:r>
        <w:rPr>
          <w:rStyle w:val="CharStyle13"/>
          <w:lang w:val="en-US" w:eastAsia="en-US"/>
        </w:rPr>
        <w:t xml:space="preserve">№3 </w:t>
      </w:r>
      <w:r>
        <w:rPr>
          <w:rStyle w:val="CharStyle13"/>
        </w:rPr>
        <w:t xml:space="preserve">к настоящему постановлению, из Российской Федерации </w:t>
      </w:r>
      <w:r>
        <w:rPr>
          <w:rStyle w:val="CharStyle13"/>
          <w:lang w:val="en-US" w:eastAsia="en-US"/>
        </w:rPr>
        <w:t xml:space="preserve">- </w:t>
      </w:r>
      <w:r>
        <w:rPr>
          <w:rStyle w:val="CharStyle13"/>
        </w:rPr>
        <w:t xml:space="preserve">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Федерального закона "О промышленной политике в Российской Федерации", содержащей в том числе:</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Пунктом </w:t>
      </w:r>
      <w:r>
        <w:rPr>
          <w:rStyle w:val="CharStyle13"/>
          <w:lang w:val="en-US" w:eastAsia="en-US"/>
        </w:rPr>
        <w:t xml:space="preserve">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05.05.2026 </w:t>
      </w:r>
      <w:r>
        <w:rPr>
          <w:rStyle w:val="CharStyle13"/>
        </w:rPr>
        <w:t xml:space="preserve">№ИЭА1 заявка </w:t>
      </w:r>
      <w:r>
        <w:rPr>
          <w:rStyle w:val="CharStyle13"/>
          <w:lang w:val="en-US" w:eastAsia="en-US"/>
        </w:rPr>
        <w:t xml:space="preserve">№4 </w:t>
      </w:r>
      <w:r>
        <w:rPr>
          <w:rStyle w:val="CharStyle13"/>
        </w:rPr>
        <w:t xml:space="preserve">отклонена на основании пункта </w:t>
      </w:r>
      <w:r>
        <w:rPr>
          <w:rStyle w:val="CharStyle13"/>
          <w:lang w:val="en-US" w:eastAsia="en-US"/>
        </w:rPr>
        <w:t xml:space="preserve">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а именно в протоколе указано:</w:t>
      </w:r>
    </w:p>
    <w:p>
      <w:pPr>
        <w:pStyle w:val="Style12"/>
        <w:keepNext w:val="0"/>
        <w:keepLines w:val="0"/>
        <w:widowControl w:val="0"/>
        <w:shd w:val="clear" w:color="auto" w:fill="auto"/>
        <w:bidi w:val="0"/>
        <w:spacing w:before="0" w:after="0" w:line="240" w:lineRule="auto"/>
        <w:ind w:left="0" w:right="0" w:firstLine="780"/>
        <w:jc w:val="both"/>
      </w:pPr>
      <w:r>
        <w:rPr>
          <w:rStyle w:val="CharStyle13"/>
        </w:rPr>
        <w:t>«</w:t>
      </w:r>
      <w:r>
        <w:rPr>
          <w:rStyle w:val="CharStyle13"/>
          <w:i/>
          <w:iCs/>
        </w:rPr>
        <w:t xml:space="preserve">п.8 ч.12 ст.48 44-ФЗ </w:t>
      </w:r>
      <w:r>
        <w:rPr>
          <w:rStyle w:val="CharStyle13"/>
          <w:i/>
          <w:iCs/>
          <w:lang w:val="en-US" w:eastAsia="en-US"/>
        </w:rPr>
        <w:t xml:space="preserve">- </w:t>
      </w:r>
      <w:r>
        <w:rPr>
          <w:rStyle w:val="CharStyle13"/>
          <w:i/>
          <w:iCs/>
        </w:rPr>
        <w:t>выявление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Причина несоответствия: Согласно приложенным документам и информации указанной в реестре российской промышленной продукции (далее </w:t>
      </w:r>
      <w:r>
        <w:rPr>
          <w:rStyle w:val="CharStyle13"/>
          <w:i/>
          <w:iCs/>
          <w:lang w:val="en-US" w:eastAsia="en-US"/>
        </w:rPr>
        <w:t xml:space="preserve">- </w:t>
      </w:r>
      <w:r>
        <w:rPr>
          <w:rStyle w:val="CharStyle13"/>
          <w:i/>
          <w:iCs/>
        </w:rPr>
        <w:t xml:space="preserve">реестр) (номер </w:t>
      </w:r>
      <w:r>
        <w:rPr>
          <w:rStyle w:val="CharStyle13"/>
          <w:i/>
          <w:iCs/>
          <w:lang w:val="en-US" w:eastAsia="en-US"/>
        </w:rPr>
        <w:t xml:space="preserve">10802451) </w:t>
      </w:r>
      <w:r>
        <w:rPr>
          <w:rStyle w:val="CharStyle13"/>
          <w:i/>
          <w:iCs/>
        </w:rPr>
        <w:t>действующие вещества предлагаемого к поставке товара не соответствуют требованиям технического задания</w:t>
      </w:r>
      <w:r>
        <w:rPr>
          <w:rStyle w:val="CharStyle13"/>
        </w:rPr>
        <w:t>».</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Заявителем была предоставлена реестровая запись </w:t>
      </w:r>
      <w:r>
        <w:rPr>
          <w:rStyle w:val="CharStyle13"/>
          <w:lang w:val="en-US" w:eastAsia="en-US"/>
        </w:rPr>
        <w:t xml:space="preserve">№10802451 </w:t>
      </w:r>
      <w:r>
        <w:rPr>
          <w:rStyle w:val="CharStyle13"/>
        </w:rPr>
        <w:t xml:space="preserve">на следующую продукцию: «Средство для дезинфекции объектов ветеринарного надзора и профилактики инфекционных болезней животных "Форбицид" </w:t>
      </w:r>
      <w:r>
        <w:rPr>
          <w:rStyle w:val="CharStyle13"/>
          <w:lang w:val="en-US" w:eastAsia="en-US"/>
        </w:rPr>
        <w:t xml:space="preserve">(FORBICID) </w:t>
      </w:r>
      <w:r>
        <w:rPr>
          <w:rStyle w:val="CharStyle13"/>
        </w:rPr>
        <w:t xml:space="preserve">ТМ </w:t>
      </w:r>
      <w:r>
        <w:rPr>
          <w:rStyle w:val="CharStyle13"/>
          <w:lang w:val="en-US" w:eastAsia="en-US"/>
        </w:rPr>
        <w:t xml:space="preserve">«Vortex», </w:t>
      </w:r>
      <w:r>
        <w:rPr>
          <w:rStyle w:val="CharStyle13"/>
        </w:rPr>
        <w:t xml:space="preserve">производитель </w:t>
      </w:r>
      <w:r>
        <w:rPr>
          <w:rStyle w:val="CharStyle13"/>
          <w:lang w:val="en-US" w:eastAsia="en-US"/>
        </w:rPr>
        <w:t xml:space="preserve">— </w:t>
      </w:r>
      <w:r>
        <w:rPr>
          <w:rStyle w:val="CharStyle13"/>
        </w:rPr>
        <w:t xml:space="preserve">ООО "ПК "ВОРТЕКС", совокупное количество баллов </w:t>
      </w:r>
      <w:r>
        <w:rPr>
          <w:rStyle w:val="CharStyle13"/>
          <w:lang w:val="en-US" w:eastAsia="en-US"/>
        </w:rPr>
        <w:t>— 250.</w:t>
      </w:r>
    </w:p>
    <w:p>
      <w:pPr>
        <w:pStyle w:val="Style12"/>
        <w:keepNext w:val="0"/>
        <w:keepLines w:val="0"/>
        <w:widowControl w:val="0"/>
        <w:shd w:val="clear" w:color="auto" w:fill="auto"/>
        <w:bidi w:val="0"/>
        <w:spacing w:before="0" w:after="0" w:line="240" w:lineRule="auto"/>
        <w:ind w:left="0" w:right="0" w:firstLine="780"/>
        <w:jc w:val="both"/>
      </w:pPr>
      <w:r>
        <w:rPr>
          <w:rStyle w:val="CharStyle13"/>
        </w:rPr>
        <w:t>Описание продукции, размещённое в каталоге ГИСП: «Средство предназначено для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дезинфекции на предприятиях агропромышленного комплекса, производстве пищевых продуктов, напитков и продуктов животноводства согласно ОК </w:t>
      </w:r>
      <w:r>
        <w:rPr>
          <w:rStyle w:val="CharStyle13"/>
          <w:lang w:val="en-US" w:eastAsia="en-US"/>
        </w:rPr>
        <w:t xml:space="preserve">029-2014 </w:t>
      </w:r>
      <w:r>
        <w:rPr>
          <w:rStyle w:val="CharStyle13"/>
        </w:rPr>
        <w:t xml:space="preserve">(Раздел С </w:t>
      </w:r>
      <w:r>
        <w:rPr>
          <w:rStyle w:val="CharStyle13"/>
          <w:lang w:val="en-US" w:eastAsia="en-US"/>
        </w:rPr>
        <w:t xml:space="preserve">№10-11 </w:t>
      </w:r>
      <w:r>
        <w:rPr>
          <w:rStyle w:val="CharStyle13"/>
        </w:rPr>
        <w:t xml:space="preserve">и Раздел А </w:t>
      </w:r>
      <w:r>
        <w:rPr>
          <w:rStyle w:val="CharStyle13"/>
          <w:lang w:val="en-US" w:eastAsia="en-US"/>
        </w:rPr>
        <w:t>№ 01.4)».</w:t>
      </w:r>
    </w:p>
    <w:p>
      <w:pPr>
        <w:pStyle w:val="Style19"/>
        <w:keepNext w:val="0"/>
        <w:keepLines w:val="0"/>
        <w:widowControl w:val="0"/>
        <w:shd w:val="clear" w:color="auto" w:fill="auto"/>
        <w:bidi w:val="0"/>
        <w:spacing w:before="0" w:after="0" w:line="240" w:lineRule="auto"/>
        <w:ind w:left="0" w:right="0" w:firstLine="0"/>
        <w:jc w:val="left"/>
      </w:pPr>
      <w:r>
        <w:rPr>
          <w:rStyle w:val="CharStyle20"/>
        </w:rPr>
        <w:t>Технические характеристики в каталоге ГИСП:</w:t>
      </w:r>
    </w:p>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b/>
          <w:bCs/>
          <w:sz w:val="24"/>
          <w:szCs w:val="24"/>
        </w:rPr>
        <w:t>Основные характеристики</w:t>
      </w:r>
    </w:p>
    <w:tbl>
      <w:tblPr>
        <w:tblOverlap w:val="never"/>
        <w:jc w:val="center"/>
        <w:tblLayout w:type="fixed"/>
      </w:tblPr>
      <w:tblGrid>
        <w:gridCol w:w="3346"/>
        <w:gridCol w:w="6864"/>
      </w:tblGrid>
      <w:tr>
        <w:trPr>
          <w:trHeight w:val="33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Форма выпуска</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Жидкость</w:t>
            </w:r>
          </w:p>
        </w:tc>
      </w:tr>
      <w:tr>
        <w:trPr>
          <w:trHeight w:val="614"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Действующие вещества</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 xml:space="preserve">Четвертично-аммониевые соединения </w:t>
            </w:r>
            <w:r>
              <w:rPr>
                <w:rStyle w:val="CharStyle23"/>
                <w:sz w:val="24"/>
                <w:szCs w:val="24"/>
                <w:lang w:val="en-US" w:eastAsia="en-US"/>
              </w:rPr>
              <w:t xml:space="preserve">(15% </w:t>
            </w:r>
            <w:r>
              <w:rPr>
                <w:rStyle w:val="CharStyle23"/>
                <w:sz w:val="24"/>
                <w:szCs w:val="24"/>
              </w:rPr>
              <w:t xml:space="preserve">или более, но менее </w:t>
            </w:r>
            <w:r>
              <w:rPr>
                <w:rStyle w:val="CharStyle23"/>
                <w:sz w:val="24"/>
                <w:szCs w:val="24"/>
                <w:lang w:val="en-US" w:eastAsia="en-US"/>
              </w:rPr>
              <w:t xml:space="preserve">30%), </w:t>
            </w:r>
            <w:r>
              <w:rPr>
                <w:rStyle w:val="CharStyle23"/>
                <w:sz w:val="24"/>
                <w:szCs w:val="24"/>
              </w:rPr>
              <w:t xml:space="preserve">глутаровый альдегид </w:t>
            </w:r>
            <w:r>
              <w:rPr>
                <w:rStyle w:val="CharStyle23"/>
                <w:sz w:val="24"/>
                <w:szCs w:val="24"/>
                <w:lang w:val="en-US" w:eastAsia="en-US"/>
              </w:rPr>
              <w:t xml:space="preserve">(5% </w:t>
            </w:r>
            <w:r>
              <w:rPr>
                <w:rStyle w:val="CharStyle23"/>
                <w:sz w:val="24"/>
                <w:szCs w:val="24"/>
              </w:rPr>
              <w:t xml:space="preserve">или более, но менее </w:t>
            </w:r>
            <w:r>
              <w:rPr>
                <w:rStyle w:val="CharStyle23"/>
                <w:sz w:val="24"/>
                <w:szCs w:val="24"/>
                <w:lang w:val="en-US" w:eastAsia="en-US"/>
              </w:rPr>
              <w:t>15%)</w:t>
            </w:r>
          </w:p>
        </w:tc>
      </w:tr>
      <w:tr>
        <w:trPr>
          <w:trHeight w:val="331"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Упаковка</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 xml:space="preserve">Полимерная упаковка </w:t>
            </w:r>
            <w:r>
              <w:rPr>
                <w:rStyle w:val="CharStyle23"/>
                <w:sz w:val="24"/>
                <w:szCs w:val="24"/>
                <w:lang w:val="en-US" w:eastAsia="en-US"/>
              </w:rPr>
              <w:t xml:space="preserve">— </w:t>
            </w:r>
            <w:r>
              <w:rPr>
                <w:rStyle w:val="CharStyle23"/>
                <w:sz w:val="24"/>
                <w:szCs w:val="24"/>
              </w:rPr>
              <w:t>флакон, канистра</w:t>
            </w:r>
          </w:p>
        </w:tc>
      </w:tr>
      <w:tr>
        <w:trPr>
          <w:trHeight w:val="336"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rPr>
              <w:t>Водородный показатель</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4"/>
                <w:szCs w:val="24"/>
              </w:rPr>
            </w:pPr>
            <w:r>
              <w:rPr>
                <w:rStyle w:val="CharStyle23"/>
                <w:sz w:val="24"/>
                <w:szCs w:val="24"/>
                <w:lang w:val="en-US" w:eastAsia="en-US"/>
              </w:rPr>
              <w:t xml:space="preserve">2,5 — 4 </w:t>
            </w:r>
            <w:r>
              <w:rPr>
                <w:rStyle w:val="CharStyle23"/>
                <w:sz w:val="24"/>
                <w:szCs w:val="24"/>
              </w:rPr>
              <w:t>ед.</w:t>
            </w:r>
          </w:p>
        </w:tc>
      </w:tr>
    </w:tbl>
    <w:p>
      <w:pPr>
        <w:pStyle w:val="Style19"/>
        <w:keepNext w:val="0"/>
        <w:keepLines w:val="0"/>
        <w:widowControl w:val="0"/>
        <w:shd w:val="clear" w:color="auto" w:fill="auto"/>
        <w:bidi w:val="0"/>
        <w:spacing w:before="0" w:after="0" w:line="240" w:lineRule="auto"/>
        <w:ind w:left="0" w:right="0" w:firstLine="0"/>
        <w:jc w:val="both"/>
      </w:pPr>
      <w:r>
        <w:rPr>
          <w:rStyle w:val="CharStyle20"/>
        </w:rPr>
        <w:t>Таким образом, Заявителем предложен к закупке соответствующий требованиям извещения товар.</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 рассмотрении заявок действует презумпция добросовестности участника закупки, если иное, то есть недостоверность указанных участником в заявке сведений, не выявлена и не доказана лицом, сомневающимся в достоверности таких сведений. Для принятия решения о наличии в той или иной заявке недостоверных сведений Единая комиссия должна располагать неопровержимым документальным подтверждением данного обстоятельства на момент рассмотрения заявок. На стадии рассмотрения заявок комиссия не располагала сведениями, позволяющими признать заявку Заявителя недостоверной. Указанные в заявке сведения соответствовали предъявляемым требованиям закупки, поскольку номера реестровых записей из Реестра российской промышленной продукции/евразийской промышленной продукции, согласно Постановлению </w:t>
      </w:r>
      <w:r>
        <w:rPr>
          <w:rStyle w:val="CharStyle13"/>
          <w:lang w:val="en-US" w:eastAsia="en-US"/>
        </w:rPr>
        <w:t xml:space="preserve">№1875, </w:t>
      </w:r>
      <w:r>
        <w:rPr>
          <w:rStyle w:val="CharStyle13"/>
        </w:rPr>
        <w:t>подтверждают страну происхождения товара, а не характеристику товара, поскольку в отношении товаров, страной происхождения которых является Российская Федерация, номера реестровых записей из реестра российской промышленной продукции подлежат формальной проверке комиссией по осуществлению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Соответствие поставляемого товара заявленным в заявке победителя характеристикам проверяет заказчик на этапе исполнения контракта. Предоставляемая реестровая запись из реестра российской промышленной продукции необходима только для подтверждения страны происхождения товара, а документальное подтверждение характеристик товара должно быть в сопроводительных документах при приемке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Недостоверность тех или иных сведений заявки должна быть документально подтверждена и быть реальной для того, чтобы стать причиной отклонения заявки. Отклонение заявки на основании сомнений, не подкрепленных достоверными и допустимыми доказательствами, противоречит принципам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рассматриваемом случае Комиссией Нижегородского УФАС России не установлены основания для отклонения заявки Заявителя по основанию, что согласно приложенным документам и информации указанной в реестре российской промышленной продукции с номером </w:t>
      </w:r>
      <w:r>
        <w:rPr>
          <w:rStyle w:val="CharStyle13"/>
          <w:lang w:val="en-US" w:eastAsia="en-US"/>
        </w:rPr>
        <w:t xml:space="preserve">10802451 </w:t>
      </w:r>
      <w:r>
        <w:rPr>
          <w:rStyle w:val="CharStyle13"/>
        </w:rPr>
        <w:t>действующие вещества предлагаемого к поставке товара не соответствуют требованиям технического задания.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Кроме того, Комиссия Нижегородского УФАС России отмечает, что с учетом установленного преимущества в отношении товара российского происхождения участником не требовалось предоставления подтверждающей реестровой записи из реестра российской промышленной продукции.</w:t>
      </w:r>
      <w:r>
        <w:br w:type="page"/>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изложенного, жалоба заявителя признается Комиссией Нижегородского УФАС России 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Изложенное свидетельствует о нарушении заказчиком 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 учетом обстоятельств Комиссии Нижегородского УФАС России пришла к выводу от отсутствии оснований для выдачи Заказчику обязательного для исполнения предписания об устранении нарушений законодательства о контрактной системе, поскольку по результатам закупочной процедуры </w:t>
      </w:r>
      <w:r>
        <w:rPr>
          <w:rStyle w:val="CharStyle13"/>
          <w:lang w:val="en-US" w:eastAsia="en-US"/>
        </w:rPr>
        <w:t xml:space="preserve">№ 0332200051426000001 08.05.2026 </w:t>
      </w:r>
      <w:r>
        <w:rPr>
          <w:rStyle w:val="CharStyle13"/>
        </w:rPr>
        <w:t xml:space="preserve">заключен контракт </w:t>
      </w:r>
      <w:r>
        <w:rPr>
          <w:rStyle w:val="CharStyle13"/>
          <w:lang w:val="en-US" w:eastAsia="en-US"/>
        </w:rPr>
        <w:t>№ 2522601316026000003.</w:t>
      </w:r>
    </w:p>
    <w:p>
      <w:pPr>
        <w:pStyle w:val="Style12"/>
        <w:keepNext w:val="0"/>
        <w:keepLines w:val="0"/>
        <w:widowControl w:val="0"/>
        <w:shd w:val="clear" w:color="auto" w:fill="auto"/>
        <w:bidi w:val="0"/>
        <w:spacing w:before="0" w:after="26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numPr>
          <w:ilvl w:val="0"/>
          <w:numId w:val="9"/>
        </w:numPr>
        <w:shd w:val="clear" w:color="auto" w:fill="auto"/>
        <w:tabs>
          <w:tab w:pos="1098" w:val="left"/>
        </w:tabs>
        <w:bidi w:val="0"/>
        <w:spacing w:before="0" w:after="0" w:line="240" w:lineRule="auto"/>
        <w:ind w:left="0" w:right="0" w:firstLine="760"/>
        <w:jc w:val="both"/>
      </w:pPr>
      <w:r>
        <w:rPr>
          <w:rStyle w:val="CharStyle13"/>
        </w:rPr>
        <w:t xml:space="preserve">Признать жалобу ООО НПО «НАНОПРОДУКТ» о нарушении Государственным бюджетным учреждением Нижегородской области «Государственное ветеринарное управление Пильнинского муниципального округа»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 «Средство дезинфицирующее», номер извещения </w:t>
      </w:r>
      <w:r>
        <w:rPr>
          <w:rStyle w:val="CharStyle13"/>
          <w:lang w:val="en-US" w:eastAsia="en-US"/>
        </w:rPr>
        <w:t xml:space="preserve">0332200051426000001, </w:t>
      </w:r>
      <w:r>
        <w:rPr>
          <w:rStyle w:val="CharStyle13"/>
        </w:rPr>
        <w:t>обоснованной.</w:t>
      </w:r>
    </w:p>
    <w:p>
      <w:pPr>
        <w:pStyle w:val="Style12"/>
        <w:keepNext w:val="0"/>
        <w:keepLines w:val="0"/>
        <w:widowControl w:val="0"/>
        <w:numPr>
          <w:ilvl w:val="0"/>
          <w:numId w:val="9"/>
        </w:numPr>
        <w:shd w:val="clear" w:color="auto" w:fill="auto"/>
        <w:tabs>
          <w:tab w:pos="1094" w:val="left"/>
        </w:tabs>
        <w:bidi w:val="0"/>
        <w:spacing w:before="0" w:after="0" w:line="240" w:lineRule="auto"/>
        <w:ind w:left="0" w:right="0" w:firstLine="760"/>
        <w:jc w:val="both"/>
      </w:pPr>
      <w:r>
        <w:rPr>
          <w:rStyle w:val="CharStyle13"/>
        </w:rPr>
        <w:t xml:space="preserve">Признать Заказчика нарушившим часть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9"/>
        </w:numPr>
        <w:shd w:val="clear" w:color="auto" w:fill="auto"/>
        <w:tabs>
          <w:tab w:pos="1089" w:val="left"/>
        </w:tabs>
        <w:bidi w:val="0"/>
        <w:spacing w:before="0" w:after="0" w:line="240" w:lineRule="auto"/>
        <w:ind w:left="0" w:right="0" w:firstLine="760"/>
        <w:jc w:val="both"/>
      </w:pPr>
      <w:r>
        <w:rPr>
          <w:rStyle w:val="CharStyle13"/>
        </w:rPr>
        <w:t>Предписание об устранении нарушений законодательства о контрактной системе в сфере закупок не выдавать.</w:t>
      </w:r>
    </w:p>
    <w:p>
      <w:pPr>
        <w:pStyle w:val="Style12"/>
        <w:keepNext w:val="0"/>
        <w:keepLines w:val="0"/>
        <w:widowControl w:val="0"/>
        <w:numPr>
          <w:ilvl w:val="0"/>
          <w:numId w:val="9"/>
        </w:numPr>
        <w:shd w:val="clear" w:color="auto" w:fill="auto"/>
        <w:tabs>
          <w:tab w:pos="1103" w:val="left"/>
        </w:tabs>
        <w:bidi w:val="0"/>
        <w:spacing w:before="0" w:after="0" w:line="240" w:lineRule="auto"/>
        <w:ind w:left="0" w:right="0" w:firstLine="76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widowControl w:val="0"/>
        <w:spacing w:line="1" w:lineRule="exact"/>
        <w:sectPr>
          <w:footnotePr>
            <w:pos w:val="pageBottom"/>
            <w:numFmt w:val="decimal"/>
            <w:numRestart w:val="continuous"/>
          </w:footnotePr>
          <w:type w:val="continuous"/>
          <w:pgSz w:w="11900" w:h="16840"/>
          <w:pgMar w:top="1423" w:right="537" w:bottom="1305" w:left="1091" w:header="0" w:footer="3" w:gutter="0"/>
          <w:cols w:space="720"/>
          <w:noEndnote/>
          <w:rtlGutter w:val="0"/>
          <w:docGrid w:linePitch="360"/>
        </w:sectPr>
      </w:pPr>
      <w:r>
        <mc:AlternateContent>
          <mc:Choice Requires="wps">
            <w:drawing>
              <wp:anchor distT="88900" distB="222250" distL="0" distR="0" simplePos="0" relativeHeight="125829383" behindDoc="0" locked="0" layoutInCell="1" allowOverlap="1">
                <wp:simplePos x="0" y="0"/>
                <wp:positionH relativeFrom="page">
                  <wp:posOffset>737235</wp:posOffset>
                </wp:positionH>
                <wp:positionV relativeFrom="paragraph">
                  <wp:posOffset>88900</wp:posOffset>
                </wp:positionV>
                <wp:extent cx="1694815" cy="231775"/>
                <wp:wrapTopAndBottom/>
                <wp:docPr id="15" name="Shape 15"/>
                <a:graphic xmlns:a="http://schemas.openxmlformats.org/drawingml/2006/main">
                  <a:graphicData uri="http://schemas.microsoft.com/office/word/2010/wordprocessingShape">
                    <wps:wsp>
                      <wps:cNvSpPr txBox="1"/>
                      <wps:spPr>
                        <a:xfrm>
                          <a:ext cx="1694815"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050000000000004pt;margin-top:7.pt;width:133.44999999999999pt;height:18.25pt;z-index:-125829370;mso-wrap-distance-left:0;mso-wrap-distance-top:7.pt;mso-wrap-distance-right:0;mso-wrap-distance-bottom:17.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177165" distB="0" distL="0" distR="1804670" simplePos="0" relativeHeight="125829385" behindDoc="0" locked="0" layoutInCell="1" allowOverlap="1">
            <wp:simplePos x="0" y="0"/>
            <wp:positionH relativeFrom="page">
              <wp:posOffset>3251835</wp:posOffset>
            </wp:positionH>
            <wp:positionV relativeFrom="paragraph">
              <wp:posOffset>177165</wp:posOffset>
            </wp:positionV>
            <wp:extent cx="316865"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3648075</wp:posOffset>
                </wp:positionH>
                <wp:positionV relativeFrom="paragraph">
                  <wp:posOffset>247015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7.25pt;margin-top:19.449999999999999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22250" distL="0" distR="0" simplePos="0" relativeHeight="125829386" behindDoc="0" locked="0" layoutInCell="1" allowOverlap="1">
                <wp:simplePos x="0" y="0"/>
                <wp:positionH relativeFrom="page">
                  <wp:posOffset>6260465</wp:posOffset>
                </wp:positionH>
                <wp:positionV relativeFrom="paragraph">
                  <wp:posOffset>88900</wp:posOffset>
                </wp:positionV>
                <wp:extent cx="953770" cy="231775"/>
                <wp:wrapTopAndBottom/>
                <wp:docPr id="21" name="Shape 21"/>
                <a:graphic xmlns:a="http://schemas.openxmlformats.org/drawingml/2006/main">
                  <a:graphicData uri="http://schemas.microsoft.com/office/word/2010/wordprocessingShape">
                    <wps:wsp>
                      <wps:cNvSpPr txBox="1"/>
                      <wps:spPr>
                        <a:xfrm>
                          <a:ext cx="953770"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wps:txbx>
                      <wps:bodyPr wrap="none" lIns="0" tIns="0" rIns="0" bIns="0">
                        <a:noAutoFit/>
                      </wps:bodyPr>
                    </wps:wsp>
                  </a:graphicData>
                </a:graphic>
              </wp:anchor>
            </w:drawing>
          </mc:Choice>
          <mc:Fallback>
            <w:pict>
              <v:shape id="_x0000_s1047" type="#_x0000_t202" style="position:absolute;margin-left:492.94999999999999pt;margin-top:7.pt;width:75.100000000000009pt;height:18.25pt;z-index:-125829367;mso-wrap-distance-left:0;mso-wrap-distance-top:7.pt;mso-wrap-distance-right:0;mso-wrap-distance-bottom:17.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7"/>
          <w:b/>
          <w:bCs/>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Баранов Илья Валерьевич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0D493BB3DAA620D04EE744081508209F</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Действителен с 24.09.2025 </w:t>
      </w:r>
      <w:r>
        <w:rPr>
          <w:rStyle w:val="CharStyle29"/>
          <w:color w:val="595959"/>
        </w:rPr>
        <w:t xml:space="preserve">по </w:t>
      </w:r>
      <w:r>
        <w:rPr>
          <w:rStyle w:val="CharStyle29"/>
        </w:rPr>
        <w:t>18.12.2026</w:t>
      </w:r>
    </w:p>
    <w:p>
      <w:pPr>
        <w:widowControl w:val="0"/>
        <w:spacing w:line="1" w:lineRule="exact"/>
      </w:pPr>
      <w:r>
        <mc:AlternateContent>
          <mc:Choice Requires="wps">
            <w:drawing>
              <wp:anchor distT="203200" distB="210185" distL="0" distR="0" simplePos="0" relativeHeight="125829388" behindDoc="0" locked="0" layoutInCell="1" allowOverlap="1">
                <wp:simplePos x="0" y="0"/>
                <wp:positionH relativeFrom="page">
                  <wp:posOffset>734060</wp:posOffset>
                </wp:positionH>
                <wp:positionV relativeFrom="paragraph">
                  <wp:posOffset>203200</wp:posOffset>
                </wp:positionV>
                <wp:extent cx="1249680" cy="234950"/>
                <wp:wrapTopAndBottom/>
                <wp:docPr id="23" name="Shape 23"/>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49" type="#_x0000_t202" style="position:absolute;margin-left:57.800000000000004pt;margin-top:16.pt;width:98.400000000000006pt;height:18.5pt;z-index:-125829365;mso-wrap-distance-left:0;mso-wrap-distance-top:16.pt;mso-wrap-distance-right:0;mso-wrap-distance-bottom:16.5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303530" distB="635" distL="0" distR="1816735" simplePos="0" relativeHeight="125829390" behindDoc="0" locked="0" layoutInCell="1" allowOverlap="1">
            <wp:simplePos x="0" y="0"/>
            <wp:positionH relativeFrom="page">
              <wp:posOffset>3257550</wp:posOffset>
            </wp:positionH>
            <wp:positionV relativeFrom="paragraph">
              <wp:posOffset>303530</wp:posOffset>
            </wp:positionV>
            <wp:extent cx="298450" cy="34734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3647440</wp:posOffset>
                </wp:positionH>
                <wp:positionV relativeFrom="paragraph">
                  <wp:posOffset>364490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7.19999999999999pt;margin-top:28.699999999999999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10185" distL="0" distR="0" simplePos="0" relativeHeight="125829391" behindDoc="0" locked="0" layoutInCell="1" allowOverlap="1">
                <wp:simplePos x="0" y="0"/>
                <wp:positionH relativeFrom="page">
                  <wp:posOffset>6086475</wp:posOffset>
                </wp:positionH>
                <wp:positionV relativeFrom="paragraph">
                  <wp:posOffset>203200</wp:posOffset>
                </wp:positionV>
                <wp:extent cx="1124585" cy="234950"/>
                <wp:wrapTopAndBottom/>
                <wp:docPr id="29" name="Shape 29"/>
                <a:graphic xmlns:a="http://schemas.openxmlformats.org/drawingml/2006/main">
                  <a:graphicData uri="http://schemas.microsoft.com/office/word/2010/wordprocessingShape">
                    <wps:wsp>
                      <wps:cNvSpPr txBox="1"/>
                      <wps:spPr>
                        <a:xfrm>
                          <a:ext cx="112458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Д.А. Колденков</w:t>
                            </w:r>
                          </w:p>
                        </w:txbxContent>
                      </wps:txbx>
                      <wps:bodyPr wrap="none" lIns="0" tIns="0" rIns="0" bIns="0">
                        <a:noAutoFit/>
                      </wps:bodyPr>
                    </wps:wsp>
                  </a:graphicData>
                </a:graphic>
              </wp:anchor>
            </w:drawing>
          </mc:Choice>
          <mc:Fallback>
            <w:pict>
              <v:shape id="_x0000_s1055" type="#_x0000_t202" style="position:absolute;margin-left:479.25pt;margin-top:16.pt;width:88.549999999999997pt;height:18.5pt;z-index:-125829362;mso-wrap-distance-left:0;mso-wrap-distance-top:16.pt;mso-wrap-distance-right:0;mso-wrap-distance-bottom:16.5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Д.А. Колденков</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7"/>
          <w:b/>
          <w:bCs/>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Колденков Даниил Александрович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00D84EF2E1E1AF1681EC520B87FD3DE73</w:t>
      </w:r>
      <w:r>
        <w:rPr>
          <w:rStyle w:val="CharStyle29"/>
          <w:lang w:val="en-US" w:eastAsia="en-US"/>
        </w:rPr>
        <w:t>E</w:t>
      </w:r>
    </w:p>
    <w:p>
      <w:pPr>
        <w:pStyle w:val="Style28"/>
        <w:keepNext w:val="0"/>
        <w:keepLines w:val="0"/>
        <w:widowControl w:val="0"/>
        <w:shd w:val="clear" w:color="auto" w:fill="auto"/>
        <w:bidi w:val="0"/>
        <w:spacing w:before="0" w:after="60" w:line="240" w:lineRule="auto"/>
        <w:ind w:right="0" w:firstLine="0"/>
        <w:jc w:val="left"/>
      </w:pPr>
      <w:r>
        <w:rPr>
          <w:rStyle w:val="CharStyle29"/>
        </w:rPr>
        <w:t xml:space="preserve">Действителен с </w:t>
      </w:r>
      <w:r>
        <w:rPr>
          <w:rStyle w:val="CharStyle29"/>
          <w:color w:val="595959"/>
        </w:rPr>
        <w:t>29.08.2025 по 22.1</w:t>
      </w:r>
      <w:r>
        <w:rPr>
          <w:rStyle w:val="CharStyle29"/>
          <w:color w:val="292929"/>
        </w:rPr>
        <w:t>1</w:t>
      </w:r>
      <w:r>
        <w:rPr>
          <w:rStyle w:val="CharStyle29"/>
        </w:rPr>
        <w:t>.2026</w:t>
      </w:r>
      <w:r>
        <w:br w:type="page"/>
      </w:r>
    </w:p>
    <w:p>
      <w:pPr>
        <w:widowControl w:val="0"/>
        <w:spacing w:line="1" w:lineRule="exact"/>
      </w:pPr>
      <w:r>
        <w:drawing>
          <wp:anchor distT="69850" distB="0" distL="0" distR="1786255" simplePos="0" relativeHeight="125829393" behindDoc="0" locked="0" layoutInCell="1" allowOverlap="1">
            <wp:simplePos x="0" y="0"/>
            <wp:positionH relativeFrom="page">
              <wp:posOffset>3233420</wp:posOffset>
            </wp:positionH>
            <wp:positionV relativeFrom="paragraph">
              <wp:posOffset>69850</wp:posOffset>
            </wp:positionV>
            <wp:extent cx="359410" cy="52451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3696970</wp:posOffset>
                </wp:positionH>
                <wp:positionV relativeFrom="paragraph">
                  <wp:posOffset>474980</wp:posOffset>
                </wp:positionV>
                <wp:extent cx="1280160" cy="100330"/>
                <wp:wrapNone/>
                <wp:docPr id="33" name="Shape 3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91.10000000000002pt;margin-top:37.399999999999999pt;width:100.8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3653790</wp:posOffset>
                </wp:positionH>
                <wp:positionV relativeFrom="paragraph">
                  <wp:posOffset>158115</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87.69999999999999pt;margin-top:12.45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356235" distL="0" distR="0" simplePos="0" relativeHeight="125829394" behindDoc="0" locked="0" layoutInCell="1" allowOverlap="1">
                <wp:simplePos x="0" y="0"/>
                <wp:positionH relativeFrom="page">
                  <wp:posOffset>6144260</wp:posOffset>
                </wp:positionH>
                <wp:positionV relativeFrom="paragraph">
                  <wp:posOffset>0</wp:posOffset>
                </wp:positionV>
                <wp:extent cx="1078865" cy="234950"/>
                <wp:wrapTopAndBottom/>
                <wp:docPr id="37" name="Shape 37"/>
                <a:graphic xmlns:a="http://schemas.openxmlformats.org/drawingml/2006/main">
                  <a:graphicData uri="http://schemas.microsoft.com/office/word/2010/wordprocessingShape">
                    <wps:wsp>
                      <wps:cNvSpPr txBox="1"/>
                      <wps:spPr>
                        <a:xfrm>
                          <a:ext cx="107886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Ю.К. Лебедева</w:t>
                            </w:r>
                          </w:p>
                        </w:txbxContent>
                      </wps:txbx>
                      <wps:bodyPr wrap="none" lIns="0" tIns="0" rIns="0" bIns="0">
                        <a:noAutoFit/>
                      </wps:bodyPr>
                    </wps:wsp>
                  </a:graphicData>
                </a:graphic>
              </wp:anchor>
            </w:drawing>
          </mc:Choice>
          <mc:Fallback>
            <w:pict>
              <v:shape id="_x0000_s1063" type="#_x0000_t202" style="position:absolute;margin-left:483.80000000000001pt;margin-top:0;width:84.950000000000003pt;height:18.5pt;z-index:-125829359;mso-wrap-distance-left:0;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Ю.К. Лебедева</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Лебедева Юлия Константиновна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00C93FBB7A4557EA64748F1397E15ED90B</w:t>
      </w:r>
    </w:p>
    <w:p>
      <w:pPr>
        <w:pStyle w:val="Style28"/>
        <w:keepNext w:val="0"/>
        <w:keepLines w:val="0"/>
        <w:widowControl w:val="0"/>
        <w:shd w:val="clear" w:color="auto" w:fill="auto"/>
        <w:bidi w:val="0"/>
        <w:spacing w:before="0" w:after="1000" w:line="240" w:lineRule="auto"/>
        <w:ind w:right="0" w:firstLine="0"/>
        <w:jc w:val="left"/>
      </w:pPr>
      <w:r>
        <w:rPr>
          <w:rStyle w:val="CharStyle29"/>
        </w:rPr>
        <w:t xml:space="preserve">Действителен с 04.09.2025 </w:t>
      </w:r>
      <w:r>
        <w:rPr>
          <w:rStyle w:val="CharStyle29"/>
          <w:color w:val="595959"/>
        </w:rPr>
        <w:t xml:space="preserve">по </w:t>
      </w:r>
      <w:r>
        <w:rPr>
          <w:rStyle w:val="CharStyle29"/>
        </w:rPr>
        <w:t>28.1</w:t>
      </w:r>
      <w:r>
        <w:rPr>
          <w:rStyle w:val="CharStyle29"/>
          <w:color w:val="292929"/>
        </w:rPr>
        <w:t>1</w:t>
      </w:r>
      <w:r>
        <w:rPr>
          <w:rStyle w:val="CharStyle29"/>
        </w:rPr>
        <w:t>.2026</w:t>
      </w:r>
    </w:p>
    <w:p>
      <w:pPr>
        <w:pStyle w:val="Style12"/>
        <w:keepNext w:val="0"/>
        <w:keepLines w:val="0"/>
        <w:widowControl w:val="0"/>
        <w:shd w:val="clear" w:color="auto" w:fill="auto"/>
        <w:bidi w:val="0"/>
        <w:spacing w:before="0" w:after="8980" w:line="240" w:lineRule="auto"/>
        <w:ind w:left="0" w:right="0" w:firstLine="760"/>
        <w:jc w:val="left"/>
      </w:pPr>
      <w:r>
        <w:rPr>
          <w:rStyle w:val="CharStyle13"/>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33"/>
        <w:keepNext w:val="0"/>
        <w:keepLines w:val="0"/>
        <w:widowControl w:val="0"/>
        <w:shd w:val="clear" w:color="auto" w:fill="auto"/>
        <w:bidi w:val="0"/>
        <w:spacing w:before="0" w:after="0" w:line="240" w:lineRule="auto"/>
        <w:ind w:left="0" w:right="0" w:firstLine="0"/>
        <w:jc w:val="left"/>
      </w:pPr>
      <w:r>
        <w:rPr>
          <w:rStyle w:val="CharStyle34"/>
        </w:rPr>
        <w:t>тел.8(831)431-73-95, вн.052-301</w:t>
      </w:r>
    </w:p>
    <w:sectPr>
      <w:footnotePr>
        <w:pos w:val="pageBottom"/>
        <w:numFmt w:val="decimal"/>
        <w:numRestart w:val="continuous"/>
      </w:footnotePr>
      <w:type w:val="continuous"/>
      <w:pgSz w:w="11900" w:h="16840"/>
      <w:pgMar w:top="1662" w:right="544" w:bottom="1806"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782320</wp:posOffset>
              </wp:positionH>
              <wp:positionV relativeFrom="page">
                <wp:posOffset>10199370</wp:posOffset>
              </wp:positionV>
              <wp:extent cx="728345" cy="128270"/>
              <wp:wrapNone/>
              <wp:docPr id="5" name="Shape 5"/>
              <a:graphic xmlns:a="http://schemas.openxmlformats.org/drawingml/2006/main">
                <a:graphicData uri="http://schemas.microsoft.com/office/word/2010/wordprocessingShape">
                  <wps:wsp>
                    <wps:cNvSpPr txBox="1"/>
                    <wps:spPr>
                      <a:xfrm>
                        <a:ext cx="72834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2026-11978</w:t>
                          </w:r>
                        </w:p>
                      </w:txbxContent>
                    </wps:txbx>
                    <wps:bodyPr wrap="none" lIns="0" tIns="0" rIns="0" bIns="0">
                      <a:spAutoFit/>
                    </wps:bodyPr>
                  </wps:wsp>
                </a:graphicData>
              </a:graphic>
            </wp:anchor>
          </w:drawing>
        </mc:Choice>
        <mc:Fallback>
          <w:pict>
            <v:shape id="_x0000_s1031" type="#_x0000_t202" style="position:absolute;margin-left:61.600000000000001pt;margin-top:803.10000000000002pt;width:57.350000000000001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2026-11978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10034270</wp:posOffset>
              </wp:positionV>
              <wp:extent cx="728345" cy="125095"/>
              <wp:wrapNone/>
              <wp:docPr id="7" name="Shape 7"/>
              <a:graphic xmlns:a="http://schemas.openxmlformats.org/drawingml/2006/main">
                <a:graphicData uri="http://schemas.microsoft.com/office/word/2010/wordprocessingShape">
                  <wps:wsp>
                    <wps:cNvSpPr txBox="1"/>
                    <wps:spPr>
                      <a:xfrm>
                        <a:ext cx="72834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2026-11978</w:t>
                          </w:r>
                        </w:p>
                      </w:txbxContent>
                    </wps:txbx>
                    <wps:bodyPr wrap="none" lIns="0" tIns="0" rIns="0" bIns="0">
                      <a:spAutoFit/>
                    </wps:bodyPr>
                  </wps:wsp>
                </a:graphicData>
              </a:graphic>
            </wp:anchor>
          </w:drawing>
        </mc:Choice>
        <mc:Fallback>
          <w:pict>
            <v:shape id="_x0000_s1033" type="#_x0000_t202" style="position:absolute;margin-left:70.200000000000003pt;margin-top:790.10000000000002pt;width:57.350000000000001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2026-11978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3928110</wp:posOffset>
              </wp:positionH>
              <wp:positionV relativeFrom="page">
                <wp:posOffset>718185</wp:posOffset>
              </wp:positionV>
              <wp:extent cx="73025" cy="109855"/>
              <wp:wrapNone/>
              <wp:docPr id="3" name="Shape 3"/>
              <a:graphic xmlns:a="http://schemas.openxmlformats.org/drawingml/2006/main">
                <a:graphicData uri="http://schemas.microsoft.com/office/word/2010/wordprocessingShape">
                  <wps:wsp>
                    <wps:cNvSpPr txBox="1"/>
                    <wps:spPr>
                      <a:xfrm>
                        <a:ext cx="7302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30000000000001pt;margin-top:56.550000000000004pt;width:5.75pt;height:8.6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Picture caption_"/>
    <w:basedOn w:val="DefaultParagraphFont"/>
    <w:link w:val="Style15"/>
    <w:rPr>
      <w:rFonts w:ascii="Times New Roman" w:eastAsia="Times New Roman" w:hAnsi="Times New Roman" w:cs="Times New Roman"/>
      <w:b/>
      <w:bCs/>
      <w:i w:val="0"/>
      <w:iCs w:val="0"/>
      <w:smallCaps w:val="0"/>
      <w:strike w:val="0"/>
      <w:color w:val="292929"/>
      <w:sz w:val="11"/>
      <w:szCs w:val="11"/>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Body text (4)_"/>
    <w:basedOn w:val="DefaultParagraphFont"/>
    <w:link w:val="Style26"/>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04040"/>
      <w:sz w:val="12"/>
      <w:szCs w:val="12"/>
      <w:u w:val="none"/>
    </w:rPr>
  </w:style>
  <w:style w:type="character" w:customStyle="1" w:styleId="CharStyle34">
    <w:name w:val="Body text (5)_"/>
    <w:basedOn w:val="DefaultParagraphFont"/>
    <w:link w:val="Style33"/>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Picture caption"/>
    <w:basedOn w:val="Normal"/>
    <w:link w:val="CharStyle16"/>
    <w:pPr>
      <w:widowControl w:val="0"/>
      <w:shd w:val="clear" w:color="auto" w:fill="auto"/>
    </w:pPr>
    <w:rPr>
      <w:rFonts w:ascii="Times New Roman" w:eastAsia="Times New Roman" w:hAnsi="Times New Roman" w:cs="Times New Roman"/>
      <w:b/>
      <w:bCs/>
      <w:i w:val="0"/>
      <w:iCs w:val="0"/>
      <w:smallCaps w:val="0"/>
      <w:strike w:val="0"/>
      <w:color w:val="292929"/>
      <w:sz w:val="11"/>
      <w:szCs w:val="11"/>
      <w:u w:val="none"/>
    </w:rPr>
  </w:style>
  <w:style w:type="paragraph" w:customStyle="1" w:styleId="Style19">
    <w:name w:val="Table caption"/>
    <w:basedOn w:val="Normal"/>
    <w:link w:val="CharStyle20"/>
    <w:pPr>
      <w:widowControl w:val="0"/>
      <w:shd w:val="clear" w:color="auto" w:fill="auto"/>
      <w:ind w:firstLine="74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Body text (4)"/>
    <w:basedOn w:val="Normal"/>
    <w:link w:val="CharStyle27"/>
    <w:pPr>
      <w:widowControl w:val="0"/>
      <w:shd w:val="clear" w:color="auto" w:fill="auto"/>
      <w:spacing w:after="100"/>
      <w:ind w:left="4720"/>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28">
    <w:name w:val="Body text (2)"/>
    <w:basedOn w:val="Normal"/>
    <w:link w:val="CharStyle29"/>
    <w:pPr>
      <w:widowControl w:val="0"/>
      <w:shd w:val="clear" w:color="auto" w:fill="auto"/>
      <w:ind w:left="4000"/>
    </w:pPr>
    <w:rPr>
      <w:rFonts w:ascii="Arial" w:eastAsia="Arial" w:hAnsi="Arial" w:cs="Arial"/>
      <w:b w:val="0"/>
      <w:bCs w:val="0"/>
      <w:i w:val="0"/>
      <w:iCs w:val="0"/>
      <w:smallCaps w:val="0"/>
      <w:strike w:val="0"/>
      <w:color w:val="404040"/>
      <w:sz w:val="12"/>
      <w:szCs w:val="12"/>
      <w:u w:val="none"/>
    </w:rPr>
  </w:style>
  <w:style w:type="paragraph" w:customStyle="1" w:styleId="Style33">
    <w:name w:val="Body text (5)"/>
    <w:basedOn w:val="Normal"/>
    <w:link w:val="CharStyle34"/>
    <w:pPr>
      <w:widowControl w:val="0"/>
      <w:shd w:val="clear" w:color="auto" w:fill="auto"/>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