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200" w:line="240" w:lineRule="auto"/>
        <w:ind w:left="0" w:right="0" w:firstLine="0"/>
        <w:jc w:val="center"/>
      </w:pPr>
      <w:r>
        <w:rPr>
          <w:rStyle w:val="CharStyle9"/>
          <w:b/>
          <w:bCs/>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line="276" w:lineRule="auto"/>
        <w:ind w:left="0" w:right="0" w:firstLine="0"/>
        <w:jc w:val="center"/>
      </w:pPr>
      <w:r>
        <w:rPr>
          <w:rStyle w:val="CharStyle6"/>
        </w:rPr>
        <w:t>ул. Пушкина, 95, г. Уфа, 450008</w:t>
        <w:br/>
        <w:t>тел. (347) 273-34-05, факс (347) 272-58-82</w:t>
        <w:br/>
      </w:r>
      <w:r>
        <w:rPr>
          <w:rStyle w:val="CharStyle6"/>
          <w:lang w:val="en-US" w:eastAsia="en-US"/>
        </w:rPr>
        <w:t xml:space="preserve">e-mail: </w:t>
      </w:r>
      <w:r>
        <w:fldChar w:fldCharType="begin"/>
      </w:r>
      <w:r>
        <w:rPr/>
        <w:instrText> HYPERLINK "mailto:to02@fas.gov.ru" </w:instrText>
      </w:r>
      <w:r>
        <w:fldChar w:fldCharType="separate"/>
      </w:r>
      <w:r>
        <w:rPr>
          <w:rStyle w:val="CharStyle6"/>
          <w:lang w:val="en-US" w:eastAsia="en-US"/>
        </w:rPr>
        <w:t>to02@fas.gov.ru</w:t>
      </w:r>
      <w:r>
        <w:fldChar w:fldCharType="end"/>
      </w:r>
    </w:p>
    <w:p>
      <w:pPr>
        <w:pStyle w:val="Style8"/>
        <w:keepNext w:val="0"/>
        <w:keepLines w:val="0"/>
        <w:widowControl w:val="0"/>
        <w:shd w:val="clear" w:color="auto" w:fill="auto"/>
        <w:tabs>
          <w:tab w:leader="underscore" w:pos="1766" w:val="left"/>
          <w:tab w:leader="underscore" w:pos="3931" w:val="left"/>
        </w:tabs>
        <w:bidi w:val="0"/>
        <w:spacing w:before="0" w:after="260" w:line="240" w:lineRule="auto"/>
        <w:ind w:left="0" w:right="0" w:firstLine="0"/>
        <w:jc w:val="left"/>
      </w:pPr>
      <w:r>
        <w:rPr>
          <w:rStyle w:val="CharStyle9"/>
        </w:rPr>
        <w:tab/>
        <w:t xml:space="preserve"> №</w:t>
        <w:tab/>
      </w:r>
    </w:p>
    <w:p>
      <w:pPr>
        <w:pStyle w:val="Style8"/>
        <w:keepNext w:val="0"/>
        <w:keepLines w:val="0"/>
        <w:widowControl w:val="0"/>
        <w:shd w:val="clear" w:color="auto" w:fill="auto"/>
        <w:bidi w:val="0"/>
        <w:spacing w:before="0" w:after="620" w:line="240" w:lineRule="auto"/>
        <w:ind w:left="0" w:right="0" w:firstLine="0"/>
        <w:jc w:val="left"/>
      </w:pPr>
      <w:r>
        <w:rPr>
          <w:rStyle w:val="CharStyle9"/>
        </w:rPr>
        <w:t xml:space="preserve">На№  от</w:t>
      </w:r>
    </w:p>
    <w:p>
      <w:pPr>
        <w:pStyle w:val="Style11"/>
        <w:keepNext w:val="0"/>
        <w:keepLines w:val="0"/>
        <w:widowControl w:val="0"/>
        <w:shd w:val="clear" w:color="auto" w:fill="auto"/>
        <w:bidi w:val="0"/>
        <w:spacing w:before="0" w:after="0" w:line="240" w:lineRule="auto"/>
        <w:ind w:left="0" w:right="0" w:firstLine="0"/>
        <w:jc w:val="both"/>
        <w:rPr>
          <w:sz w:val="24"/>
          <w:szCs w:val="24"/>
        </w:rPr>
      </w:pPr>
      <w:r>
        <w:rPr>
          <w:rStyle w:val="CharStyle12"/>
          <w:sz w:val="24"/>
          <w:szCs w:val="24"/>
        </w:rPr>
        <w:t>Решение</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ООО "НЕЙРО-ГРУПП" </w:t>
      </w:r>
      <w:r>
        <w:fldChar w:fldCharType="begin"/>
      </w:r>
      <w:r>
        <w:rPr/>
        <w:instrText> HYPERLINK "mailto:oh00tnik@mail.ru" </w:instrText>
      </w:r>
      <w:r>
        <w:fldChar w:fldCharType="separate"/>
      </w:r>
      <w:r>
        <w:rPr>
          <w:rStyle w:val="CharStyle15"/>
          <w:lang w:val="en-US" w:eastAsia="en-US"/>
        </w:rPr>
        <w:t>oh00tnik@mail.ru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ГКУ УМТО МЗ РБ</w:t>
      </w:r>
    </w:p>
    <w:p>
      <w:pPr>
        <w:pStyle w:val="Style14"/>
        <w:keepNext w:val="0"/>
        <w:keepLines w:val="0"/>
        <w:widowControl w:val="0"/>
        <w:shd w:val="clear" w:color="auto" w:fill="auto"/>
        <w:bidi w:val="0"/>
        <w:spacing w:before="0" w:after="280" w:line="240" w:lineRule="auto"/>
        <w:ind w:left="0" w:right="0" w:firstLine="0"/>
        <w:jc w:val="left"/>
      </w:pPr>
      <w:r>
        <w:fldChar w:fldCharType="begin"/>
      </w:r>
      <w:r>
        <w:rPr/>
        <w:instrText> HYPERLINK "mailto:gkumz_zakupki@doctorrb.ru" </w:instrText>
      </w:r>
      <w:r>
        <w:fldChar w:fldCharType="separate"/>
      </w:r>
      <w:r>
        <w:rPr>
          <w:rStyle w:val="CharStyle15"/>
          <w:lang w:val="en-US" w:eastAsia="en-US"/>
        </w:rPr>
        <w:t>gkumz_zakupki@doctorrb.ru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ГОСУДАРСТВЕННОЕ КАЗЕННОЕ УЧРЕЖДЕНИЕ РЕСПУБЛИКИ БАШКОРТОСТАН "РЕСПУБЛИКАНСКИЙ ЦЕНТР ТОРГОВ"</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151" w:bottom="1313" w:left="1135" w:header="0" w:footer="3" w:gutter="0"/>
          <w:pgNumType w:start="1"/>
          <w:cols w:num="2" w:space="926"/>
          <w:noEndnote/>
          <w:titlePg/>
          <w:rtlGutter w:val="0"/>
          <w:docGrid w:linePitch="360"/>
        </w:sectPr>
      </w:pPr>
      <w:r>
        <w:fldChar w:fldCharType="begin"/>
      </w:r>
      <w:r>
        <w:rPr/>
        <w:instrText> HYPERLINK "mailto:GKURBRCT@bashkortostan.ru" </w:instrText>
      </w:r>
      <w:r>
        <w:fldChar w:fldCharType="separate"/>
      </w:r>
      <w:r>
        <w:rPr>
          <w:rStyle w:val="CharStyle15"/>
          <w:lang w:val="en-US" w:eastAsia="en-US"/>
        </w:rPr>
        <w:t>GKURBRCT@bashkortostan.ru</w:t>
      </w:r>
      <w:r>
        <w:fldChar w:fldCharType="end"/>
      </w:r>
      <w:r>
        <w:rPr>
          <w:rStyle w:val="CharStyle15"/>
          <w:lang w:val="en-US" w:eastAsia="en-US"/>
        </w:rPr>
        <w:t xml:space="preserve"> </w:t>
      </w:r>
      <w:r>
        <w:fldChar w:fldCharType="begin"/>
      </w:r>
      <w:r>
        <w:rPr/>
        <w:instrText> HYPERLINK "mailto:khisamova.lf@bashkortostan.ru" </w:instrText>
      </w:r>
      <w:r>
        <w:fldChar w:fldCharType="separate"/>
      </w:r>
      <w:r>
        <w:rPr>
          <w:rStyle w:val="CharStyle15"/>
          <w:lang w:val="en-US" w:eastAsia="en-US"/>
        </w:rPr>
        <w:t>khisamova.lf@bashkortostan.ru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69" w:right="0" w:bottom="1324" w:left="0" w:header="0" w:footer="3" w:gutter="0"/>
          <w:cols w:space="720"/>
          <w:noEndnote/>
          <w:rtlGutter w:val="0"/>
          <w:docGrid w:linePitch="360"/>
        </w:sectPr>
      </w:pPr>
    </w:p>
    <w:p>
      <w:pPr>
        <w:pStyle w:val="Style14"/>
        <w:keepNext w:val="0"/>
        <w:keepLines w:val="0"/>
        <w:widowControl w:val="0"/>
        <w:shd w:val="clear" w:color="auto" w:fill="auto"/>
        <w:bidi w:val="0"/>
        <w:spacing w:before="0" w:after="200" w:line="240" w:lineRule="auto"/>
        <w:ind w:left="0" w:right="0" w:firstLine="0"/>
        <w:jc w:val="center"/>
      </w:pPr>
      <w:r>
        <w:rPr>
          <w:rStyle w:val="CharStyle15"/>
          <w:b/>
          <w:bCs/>
        </w:rPr>
        <w:t>РЕШЕНИЕ № ТО 002/06/106-930/2026</w:t>
      </w:r>
    </w:p>
    <w:p>
      <w:pPr>
        <w:pStyle w:val="Style14"/>
        <w:keepNext w:val="0"/>
        <w:keepLines w:val="0"/>
        <w:widowControl w:val="0"/>
        <w:shd w:val="clear" w:color="auto" w:fill="auto"/>
        <w:tabs>
          <w:tab w:pos="7339" w:val="left"/>
        </w:tabs>
        <w:bidi w:val="0"/>
        <w:spacing w:before="0" w:after="200" w:line="240" w:lineRule="auto"/>
        <w:ind w:left="0" w:right="0" w:firstLine="0"/>
        <w:jc w:val="both"/>
      </w:pPr>
      <w:r>
        <w:rPr>
          <w:rStyle w:val="CharStyle15"/>
        </w:rPr>
        <w:t>«15» мая 2025 года</w:t>
        <w:tab/>
        <w:t>г. Уфа, ул. Пушкина, 95</w:t>
      </w:r>
    </w:p>
    <w:p>
      <w:pPr>
        <w:pStyle w:val="Style14"/>
        <w:keepNext w:val="0"/>
        <w:keepLines w:val="0"/>
        <w:widowControl w:val="0"/>
        <w:shd w:val="clear" w:color="auto" w:fill="auto"/>
        <w:bidi w:val="0"/>
        <w:spacing w:before="0" w:after="0" w:line="240" w:lineRule="auto"/>
        <w:ind w:left="0" w:right="0" w:firstLine="860"/>
        <w:jc w:val="both"/>
      </w:pPr>
      <w:r>
        <w:rPr>
          <w:rStyle w:val="CharStyle15"/>
        </w:rPr>
        <w:t>Комиссия Управления Федеральной антимонопольной службы по Республике Башкортостан по контролю в сфере закупок в составе: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Председатель Комиссии – временно исполняющий обязанности начальника отдела контроля закупок – Агзамова Д.Р.;</w:t>
      </w:r>
    </w:p>
    <w:p>
      <w:pPr>
        <w:pStyle w:val="Style14"/>
        <w:keepNext w:val="0"/>
        <w:keepLines w:val="0"/>
        <w:widowControl w:val="0"/>
        <w:shd w:val="clear" w:color="auto" w:fill="auto"/>
        <w:bidi w:val="0"/>
        <w:spacing w:before="0" w:after="0" w:line="240" w:lineRule="auto"/>
        <w:ind w:left="0" w:right="0" w:firstLine="860"/>
        <w:jc w:val="both"/>
      </w:pPr>
      <w:r>
        <w:rPr>
          <w:rStyle w:val="CharStyle15"/>
        </w:rPr>
        <w:t>члены Комиссии: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специалист-эксперт отдела контроля закупок – Исламов И.Т.;</w:t>
      </w:r>
    </w:p>
    <w:p>
      <w:pPr>
        <w:pStyle w:val="Style14"/>
        <w:keepNext w:val="0"/>
        <w:keepLines w:val="0"/>
        <w:widowControl w:val="0"/>
        <w:shd w:val="clear" w:color="auto" w:fill="auto"/>
        <w:bidi w:val="0"/>
        <w:spacing w:before="0" w:after="0" w:line="240" w:lineRule="auto"/>
        <w:ind w:left="0" w:right="0" w:firstLine="860"/>
        <w:jc w:val="both"/>
      </w:pPr>
      <w:r>
        <w:rPr>
          <w:rStyle w:val="CharStyle15"/>
        </w:rPr>
        <w:t>специалист-эксперт отдела контроля закупок – Шакиров Д.Р.</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Посредством видеоконференцсвязи:</w:t>
      </w:r>
    </w:p>
    <w:p>
      <w:pPr>
        <w:pStyle w:val="Style14"/>
        <w:keepNext w:val="0"/>
        <w:keepLines w:val="0"/>
        <w:widowControl w:val="0"/>
        <w:shd w:val="clear" w:color="auto" w:fill="auto"/>
        <w:bidi w:val="0"/>
        <w:spacing w:before="0" w:after="0" w:line="240" w:lineRule="auto"/>
        <w:ind w:left="0" w:right="0" w:firstLine="860"/>
        <w:jc w:val="both"/>
      </w:pPr>
      <w:r>
        <w:rPr>
          <w:rStyle w:val="CharStyle15"/>
          <w:b/>
          <w:bCs/>
        </w:rPr>
        <w:t xml:space="preserve">Заказчик: </w:t>
      </w:r>
      <w:r>
        <w:rPr>
          <w:rStyle w:val="CharStyle15"/>
        </w:rPr>
        <w:t>ГКУ УМТО МЗ Республики Башкортостан;</w:t>
      </w:r>
    </w:p>
    <w:p>
      <w:pPr>
        <w:pStyle w:val="Style14"/>
        <w:keepNext w:val="0"/>
        <w:keepLines w:val="0"/>
        <w:widowControl w:val="0"/>
        <w:shd w:val="clear" w:color="auto" w:fill="auto"/>
        <w:bidi w:val="0"/>
        <w:spacing w:before="0" w:after="0" w:line="240" w:lineRule="auto"/>
        <w:ind w:left="0" w:right="0" w:firstLine="860"/>
        <w:jc w:val="both"/>
      </w:pPr>
      <w:r>
        <w:rPr>
          <w:rStyle w:val="CharStyle15"/>
          <w:b/>
          <w:bCs/>
        </w:rPr>
        <w:t xml:space="preserve">Уполномоченное учреждение: </w:t>
      </w:r>
      <w:r>
        <w:rPr>
          <w:rStyle w:val="CharStyle15"/>
        </w:rPr>
        <w:t>ГКУ РБ РЦТ;</w:t>
      </w:r>
    </w:p>
    <w:p>
      <w:pPr>
        <w:pStyle w:val="Style14"/>
        <w:keepNext w:val="0"/>
        <w:keepLines w:val="0"/>
        <w:widowControl w:val="0"/>
        <w:shd w:val="clear" w:color="auto" w:fill="auto"/>
        <w:bidi w:val="0"/>
        <w:spacing w:before="0" w:after="200" w:line="240" w:lineRule="auto"/>
        <w:ind w:left="0" w:right="0" w:firstLine="860"/>
        <w:jc w:val="both"/>
      </w:pPr>
      <w:r>
        <w:rPr>
          <w:rStyle w:val="CharStyle15"/>
          <w:b/>
          <w:bCs/>
        </w:rPr>
        <w:t xml:space="preserve">Заявитель: </w:t>
      </w:r>
      <w:r>
        <w:rPr>
          <w:rStyle w:val="CharStyle15"/>
        </w:rPr>
        <w:t>ООО «НЕЙРО-ГРУПП»,</w:t>
      </w:r>
    </w:p>
    <w:p>
      <w:pPr>
        <w:pStyle w:val="Style14"/>
        <w:keepNext w:val="0"/>
        <w:keepLines w:val="0"/>
        <w:widowControl w:val="0"/>
        <w:shd w:val="clear" w:color="auto" w:fill="auto"/>
        <w:bidi w:val="0"/>
        <w:spacing w:before="0" w:after="20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адрес Управления Федеральной антимонопольной службы по Республике Башкортостан поступила жалоба от ООО «НЕЙРО-ГРУПП» (вх. 7143/26 от 12 05.2026) на действия Заказчика, Уполномоченного учреждения при проведении закупки № 0801500001126000852 «Поставка электроэнцефалографа (национальный проект "Продолжительная и активная жизнь")».</w:t>
      </w:r>
    </w:p>
    <w:p>
      <w:pPr>
        <w:pStyle w:val="Style14"/>
        <w:keepNext w:val="0"/>
        <w:keepLines w:val="0"/>
        <w:widowControl w:val="0"/>
        <w:shd w:val="clear" w:color="auto" w:fill="auto"/>
        <w:bidi w:val="0"/>
        <w:spacing w:before="0" w:after="200" w:line="240" w:lineRule="auto"/>
        <w:ind w:left="0" w:right="0" w:firstLine="860"/>
        <w:jc w:val="both"/>
      </w:pPr>
      <w:r>
        <w:rPr>
          <w:rStyle w:val="CharStyle15"/>
        </w:rPr>
        <w:t>По мнению Заявителя, Заказчиком, Уполномоченным учреждением комиссией по осуществлению закупок нарушен Федеральный закон от 05.04.2013 № 44-ФЗ «О контрактной системе в сфере закупок товаров, работ, услуг для</w:t>
      </w:r>
    </w:p>
    <w:p>
      <w:pPr>
        <w:widowControl w:val="0"/>
        <w:spacing w:line="1" w:lineRule="exact"/>
      </w:pPr>
      <w:r>
        <w:drawing>
          <wp:anchor distT="76200" distB="0" distL="0" distR="0" simplePos="0" relativeHeight="125829378" behindDoc="0" locked="0" layoutInCell="1" allowOverlap="1">
            <wp:simplePos x="0" y="0"/>
            <wp:positionH relativeFrom="page">
              <wp:posOffset>717550</wp:posOffset>
            </wp:positionH>
            <wp:positionV relativeFrom="paragraph">
              <wp:posOffset>76200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а именно закупочная документация нарушает нормы действующего законодательства.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Жалоба подана в соответствии с требованиями Закона о контрактной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Информация о поступлении жалоб 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106 </w:t>
      </w:r>
      <w:r>
        <w:rPr>
          <w:rStyle w:val="CharStyle15"/>
        </w:rPr>
        <w:t>Закона о контрактной системе размещена в единой информационной системе.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w:t>
      </w:r>
      <w:r>
        <w:rPr>
          <w:rStyle w:val="CharStyle15"/>
          <w:lang w:val="en-US" w:eastAsia="en-US"/>
        </w:rPr>
        <w:t>№ 0801500001126000852.</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Комиссия Башкортостанского УФАС России (далее </w:t>
      </w:r>
      <w:r>
        <w:rPr>
          <w:rStyle w:val="CharStyle15"/>
          <w:lang w:val="en-US" w:eastAsia="en-US"/>
        </w:rPr>
        <w:t xml:space="preserve">– </w:t>
      </w:r>
      <w:r>
        <w:rPr>
          <w:rStyle w:val="CharStyle15"/>
        </w:rPr>
        <w:t>Комиссия), изучив и рассмотрев представленные материалы дела, установила следующее.</w:t>
      </w:r>
    </w:p>
    <w:p>
      <w:pPr>
        <w:pStyle w:val="Style14"/>
        <w:keepNext w:val="0"/>
        <w:keepLines w:val="0"/>
        <w:widowControl w:val="0"/>
        <w:shd w:val="clear" w:color="auto" w:fill="auto"/>
        <w:bidi w:val="0"/>
        <w:spacing w:before="0" w:after="0" w:line="240" w:lineRule="auto"/>
        <w:ind w:left="0" w:right="0" w:firstLine="860"/>
        <w:jc w:val="both"/>
      </w:pPr>
      <w:r>
        <w:rPr>
          <w:rStyle w:val="CharStyle15"/>
          <w:lang w:val="en-US" w:eastAsia="en-US"/>
        </w:rPr>
        <w:t xml:space="preserve">04.05.2026 </w:t>
      </w:r>
      <w:r>
        <w:rPr>
          <w:rStyle w:val="CharStyle15"/>
        </w:rPr>
        <w:t xml:space="preserve">года в единой информационной системе Заказчиком Уполномоченным учреждением размещено извещение о проведении закупки </w:t>
      </w:r>
      <w:r>
        <w:rPr>
          <w:rStyle w:val="CharStyle15"/>
          <w:lang w:val="en-US" w:eastAsia="en-US"/>
        </w:rPr>
        <w:t>№ 0801500001126000852.</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Начальная (максимальная) цена контракта </w:t>
      </w:r>
      <w:r>
        <w:rPr>
          <w:rStyle w:val="CharStyle15"/>
          <w:lang w:val="en-US" w:eastAsia="en-US"/>
        </w:rPr>
        <w:t xml:space="preserve">— 44 159 955,00 </w:t>
      </w:r>
      <w:r>
        <w:rPr>
          <w:rStyle w:val="CharStyle15"/>
        </w:rPr>
        <w:t>руб.</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Срок окончания подачи заявок </w:t>
      </w:r>
      <w:r>
        <w:rPr>
          <w:rStyle w:val="CharStyle15"/>
          <w:lang w:val="en-US" w:eastAsia="en-US"/>
        </w:rPr>
        <w:t>— 12.05.2026.</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Заявитель в своей жалобе указывает, техническое задание по электронному аукциону соответствует единственному медицинскому изделию «Комплекс компьютерный многофункциональный для исследования ЭЭГ, ВП и ЭМГ по ТУ </w:t>
      </w:r>
      <w:r>
        <w:rPr>
          <w:rStyle w:val="CharStyle15"/>
          <w:lang w:val="en-US" w:eastAsia="en-US"/>
        </w:rPr>
        <w:t xml:space="preserve">26.60.12-014-13218158-2017» </w:t>
      </w:r>
      <w:r>
        <w:rPr>
          <w:rStyle w:val="CharStyle15"/>
        </w:rPr>
        <w:t xml:space="preserve">производитель ООО "Нейрософт» регистрационное удостоверение ФСР </w:t>
      </w:r>
      <w:r>
        <w:rPr>
          <w:rStyle w:val="CharStyle15"/>
          <w:lang w:val="en-US" w:eastAsia="en-US"/>
        </w:rPr>
        <w:t xml:space="preserve">2009/04073 </w:t>
      </w:r>
      <w:r>
        <w:rPr>
          <w:rStyle w:val="CharStyle15"/>
        </w:rPr>
        <w:t xml:space="preserve">от </w:t>
      </w:r>
      <w:r>
        <w:rPr>
          <w:rStyle w:val="CharStyle15"/>
          <w:lang w:val="en-US" w:eastAsia="en-US"/>
        </w:rPr>
        <w:t>22.05.2025.</w:t>
      </w:r>
    </w:p>
    <w:p>
      <w:pPr>
        <w:pStyle w:val="Style14"/>
        <w:keepNext w:val="0"/>
        <w:keepLines w:val="0"/>
        <w:widowControl w:val="0"/>
        <w:shd w:val="clear" w:color="auto" w:fill="auto"/>
        <w:bidi w:val="0"/>
        <w:spacing w:before="0" w:after="0" w:line="240" w:lineRule="auto"/>
        <w:ind w:left="0" w:right="0" w:firstLine="860"/>
        <w:jc w:val="both"/>
      </w:pPr>
      <w:r>
        <w:rPr>
          <w:rStyle w:val="CharStyle15"/>
        </w:rPr>
        <w:t>Заказчик, Уполномоченное учреждение считают жалобу ООО «НЕЙРО</w:t>
        <w:softHyphen/>
        <w:t>ГРУПП» необоснованной и просят отказать в ее удовлетворении.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Комиссия Башкортостанского УФАС России (далее </w:t>
      </w:r>
      <w:r>
        <w:rPr>
          <w:rStyle w:val="CharStyle15"/>
          <w:lang w:val="en-US" w:eastAsia="en-US"/>
        </w:rPr>
        <w:t xml:space="preserve">– </w:t>
      </w:r>
      <w:r>
        <w:rPr>
          <w:rStyle w:val="CharStyle15"/>
        </w:rPr>
        <w:t>Комиссия), изучив и рассмотрев представленные материалы дела, установила следующее.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При этом заказчик обязан использовать при составлении описания объекта закупки показатели, требования, условные обозначения 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определить соответствие закупаемых товара, работы, услуги установленным заказчиком требованиям.</w:t>
      </w:r>
    </w:p>
    <w:p>
      <w:pPr>
        <w:pStyle w:val="Style14"/>
        <w:keepNext w:val="0"/>
        <w:keepLines w:val="0"/>
        <w:widowControl w:val="0"/>
        <w:shd w:val="clear" w:color="auto" w:fill="auto"/>
        <w:bidi w:val="0"/>
        <w:spacing w:before="0" w:after="0" w:line="240" w:lineRule="auto"/>
        <w:ind w:left="0" w:right="0" w:firstLine="860"/>
        <w:jc w:val="both"/>
      </w:pPr>
      <w:r>
        <w:rPr>
          <w:rStyle w:val="CharStyle15"/>
        </w:rPr>
        <w:t>Исходя из положений Закона о контрактной системе и общего смысла законодательства о контрактной системе, следует, что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При формировании описания объекта закупки заказчику предоставлено полномочие по самостоятельному определению параметров объекта закупки, в наибольшей степени удовлетворяющих его потребности.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Закон о контрактной системе не обязывает заказчика при определении</w:t>
      </w:r>
    </w:p>
    <w:p>
      <w:pPr>
        <w:pStyle w:val="Style14"/>
        <w:keepNext w:val="0"/>
        <w:keepLines w:val="0"/>
        <w:widowControl w:val="0"/>
        <w:shd w:val="clear" w:color="auto" w:fill="auto"/>
        <w:bidi w:val="0"/>
        <w:spacing w:before="0" w:after="0" w:line="240" w:lineRule="auto"/>
        <w:ind w:left="0" w:right="0" w:firstLine="0"/>
        <w:jc w:val="both"/>
      </w:pPr>
      <w:r>
        <w:rPr>
          <w:rStyle w:val="CharStyle15"/>
        </w:rPr>
        <w:t>характеристик поставляемого для государственных нужд товара в извещении о проведении закупки устанавливать такие характеристики, которые соответствовали бы всем существующим типам, видам, моделям товара. Указание заказчиком в извещении о проведении закупки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отсутствие у определенных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заказчиком числа участников закупки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 ходе рассмотрения жалобы Заказчиком была предоставлена сравнительная</w:t>
      </w:r>
    </w:p>
    <w:p>
      <w:pPr>
        <w:widowControl w:val="0"/>
        <w:spacing w:line="1" w:lineRule="exact"/>
      </w:pPr>
      <w:r>
        <mc:AlternateContent>
          <mc:Choice Requires="wps">
            <w:drawing>
              <wp:anchor distT="0" distB="2508250" distL="0" distR="0" simplePos="0" relativeHeight="125829379" behindDoc="0" locked="0" layoutInCell="1" allowOverlap="1">
                <wp:simplePos x="0" y="0"/>
                <wp:positionH relativeFrom="page">
                  <wp:posOffset>704215</wp:posOffset>
                </wp:positionH>
                <wp:positionV relativeFrom="paragraph">
                  <wp:posOffset>0</wp:posOffset>
                </wp:positionV>
                <wp:extent cx="685800" cy="250190"/>
                <wp:wrapTopAndBottom/>
                <wp:docPr id="8" name="Shape 8"/>
                <a:graphic xmlns:a="http://schemas.openxmlformats.org/drawingml/2006/main">
                  <a:graphicData uri="http://schemas.microsoft.com/office/word/2010/wordprocessingShape">
                    <wps:wsp>
                      <wps:cNvSpPr txBox="1"/>
                      <wps:spPr>
                        <a:xfrm>
                          <a:ext cx="68580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таблица:</w:t>
                            </w:r>
                          </w:p>
                        </w:txbxContent>
                      </wps:txbx>
                      <wps:bodyPr wrap="none" lIns="0" tIns="0" rIns="0" bIns="0">
                        <a:noAutoFit/>
                      </wps:bodyPr>
                    </wps:wsp>
                  </a:graphicData>
                </a:graphic>
              </wp:anchor>
            </w:drawing>
          </mc:Choice>
          <mc:Fallback>
            <w:pict>
              <v:shape id="_x0000_s1034" type="#_x0000_t202" style="position:absolute;margin-left:55.450000000000003pt;margin-top:0;width:54.pt;height:19.699999999999999pt;z-index:-125829374;mso-wrap-distance-left:0;mso-wrap-distance-right:0;mso-wrap-distance-bottom:19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таблица:</w:t>
                      </w:r>
                    </w:p>
                  </w:txbxContent>
                </v:textbox>
                <w10:wrap type="topAndBottom" anchorx="page"/>
              </v:shape>
            </w:pict>
          </mc:Fallback>
        </mc:AlternateContent>
      </w:r>
      <w:r>
        <w:drawing>
          <wp:anchor distT="161290" distB="0" distL="0" distR="0" simplePos="0" relativeHeight="125829381" behindDoc="0" locked="0" layoutInCell="1" allowOverlap="1">
            <wp:simplePos x="0" y="0"/>
            <wp:positionH relativeFrom="page">
              <wp:posOffset>1950720</wp:posOffset>
            </wp:positionH>
            <wp:positionV relativeFrom="paragraph">
              <wp:posOffset>161290</wp:posOffset>
            </wp:positionV>
            <wp:extent cx="4017010" cy="259715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4017010" cy="2597150"/>
                    </a:xfrm>
                    <a:prstGeom prst="rect"/>
                  </pic:spPr>
                </pic:pic>
              </a:graphicData>
            </a:graphic>
          </wp:anchor>
        </w:drawing>
      </w:r>
    </w:p>
    <w:p>
      <w:pPr>
        <w:widowControl w:val="0"/>
        <w:jc w:val="center"/>
        <w:rPr>
          <w:sz w:val="2"/>
          <w:szCs w:val="2"/>
        </w:rPr>
      </w:pPr>
      <w:r>
        <w:drawing>
          <wp:inline>
            <wp:extent cx="4121150" cy="268224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a:stretch/>
                  </pic:blipFill>
                  <pic:spPr>
                    <a:xfrm>
                      <a:ext cx="4121150" cy="2682240"/>
                    </a:xfrm>
                    <a:prstGeom prst="rect"/>
                  </pic:spPr>
                </pic:pic>
              </a:graphicData>
            </a:graphic>
          </wp:inline>
        </w:drawing>
      </w:r>
    </w:p>
    <w:p>
      <w:pPr>
        <w:widowControl w:val="0"/>
        <w:spacing w:after="239" w:line="1" w:lineRule="exact"/>
      </w:pP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 145 </w:t>
      </w:r>
      <w:r>
        <w:rPr>
          <w:rStyle w:val="CharStyle15"/>
        </w:rPr>
        <w:t xml:space="preserve">«Об утверждении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 использования каталога).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пункту </w:t>
      </w:r>
      <w:r>
        <w:rPr>
          <w:rStyle w:val="CharStyle15"/>
          <w:lang w:val="en-US" w:eastAsia="en-US"/>
        </w:rPr>
        <w:t xml:space="preserve">7 </w:t>
      </w:r>
      <w:r>
        <w:rPr>
          <w:rStyle w:val="CharStyle15"/>
        </w:rPr>
        <w:t xml:space="preserve">Правил использования каталога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 xml:space="preserve">Закона о контрактной системе.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5"/>
          <w:lang w:val="en-US" w:eastAsia="en-US"/>
        </w:rPr>
        <w:t>034-2014.</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пояснениям Заказчика, в составе заявки на закупку направлялось письмо от </w:t>
      </w:r>
      <w:r>
        <w:rPr>
          <w:rStyle w:val="CharStyle15"/>
          <w:lang w:val="en-US" w:eastAsia="en-US"/>
        </w:rPr>
        <w:t xml:space="preserve">30.04.2026 </w:t>
      </w:r>
      <w:r>
        <w:rPr>
          <w:rStyle w:val="CharStyle15"/>
        </w:rPr>
        <w:t xml:space="preserve">г. </w:t>
      </w:r>
      <w:r>
        <w:rPr>
          <w:rStyle w:val="CharStyle15"/>
          <w:lang w:val="en-US" w:eastAsia="en-US"/>
        </w:rPr>
        <w:t xml:space="preserve">№ 1633, </w:t>
      </w:r>
      <w:r>
        <w:rPr>
          <w:rStyle w:val="CharStyle15"/>
        </w:rPr>
        <w:t>в котором содержится следующая информация: «номера КТРУ содержат минимальное количество характеристик, которые ограничивают возможности Заказчика в закупке высококлассного оборудования позволяющего улучшить качество медицинского обслуживания населения и снизить уровень осложнений от заболеваний.</w:t>
      </w:r>
    </w:p>
    <w:p>
      <w:pPr>
        <w:pStyle w:val="Style14"/>
        <w:keepNext w:val="0"/>
        <w:keepLines w:val="0"/>
        <w:widowControl w:val="0"/>
        <w:shd w:val="clear" w:color="auto" w:fill="auto"/>
        <w:bidi w:val="0"/>
        <w:spacing w:before="0" w:after="0" w:line="240" w:lineRule="auto"/>
        <w:ind w:left="0" w:right="0" w:firstLine="860"/>
        <w:jc w:val="both"/>
      </w:pPr>
      <w:r>
        <w:rPr>
          <w:rStyle w:val="CharStyle15"/>
        </w:rPr>
        <w:t>Вместе с тем, для достижения целей закупки Заказчику для достижения целей закупки был необходим товар с дополнительными техническими характеристиками, указанными в описании объекта закупки. Указанные характеристики являются значимой для ЛПУ, использование товара с отсутствующим комплектом инструментов или с комплектом, предлагаемым на усмотрение поставщика, может привести к неблагоприятным последствиям в сфере охраны здоровья граждан.</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Заказчик пояснил, в отношении данной закупки невозможно было применить коды КТРУ с </w:t>
      </w:r>
      <w:r>
        <w:rPr>
          <w:rStyle w:val="CharStyle15"/>
          <w:lang w:val="en-US" w:eastAsia="en-US"/>
        </w:rPr>
        <w:t>26.60.12.119-00000993-992; 26.60.12.119-00000966-963, 26.60.12.129-</w:t>
      </w:r>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00000190, 26.60.12.129-00000252, 26.60.12.129-00000257-258, 26.60.12.129-00000236</w:t>
        <w:softHyphen/>
        <w:t xml:space="preserve">235, 26.60.12.129-00000229-225 </w:t>
      </w:r>
      <w:r>
        <w:rPr>
          <w:rStyle w:val="CharStyle15"/>
        </w:rPr>
        <w:t>ввиду отсутствия в них требуемых характеристик;</w:t>
      </w:r>
    </w:p>
    <w:p>
      <w:pPr>
        <w:pStyle w:val="Style14"/>
        <w:keepNext w:val="0"/>
        <w:keepLines w:val="0"/>
        <w:widowControl w:val="0"/>
        <w:shd w:val="clear" w:color="auto" w:fill="auto"/>
        <w:bidi w:val="0"/>
        <w:spacing w:before="0" w:after="0" w:line="240" w:lineRule="auto"/>
        <w:ind w:left="0" w:right="0" w:firstLine="880"/>
        <w:jc w:val="both"/>
      </w:pPr>
      <w:r>
        <w:rPr>
          <w:rStyle w:val="CharStyle15"/>
          <w:lang w:val="en-US" w:eastAsia="en-US"/>
        </w:rPr>
        <w:t xml:space="preserve">- </w:t>
      </w:r>
      <w:r>
        <w:rPr>
          <w:rStyle w:val="CharStyle15"/>
        </w:rPr>
        <w:t xml:space="preserve">в отношении данной закупки необходимо установить код ОКПД2 </w:t>
      </w:r>
      <w:r>
        <w:rPr>
          <w:rStyle w:val="CharStyle15"/>
          <w:lang w:val="en-US" w:eastAsia="en-US"/>
        </w:rPr>
        <w:t xml:space="preserve">26.60.12.129 </w:t>
      </w:r>
      <w:r>
        <w:rPr>
          <w:rStyle w:val="CharStyle15"/>
        </w:rPr>
        <w:t>«Приборы и аппараты для функциональной диагностики прочие, применяемые в медицинских целях, не включенные в другие группировки.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Описание объекта закупки было составлено, исходя из поставленных целей, потребностей и возможностей и с учетом правил, изложенных в статье </w:t>
      </w:r>
      <w:r>
        <w:rPr>
          <w:rStyle w:val="CharStyle15"/>
          <w:lang w:val="en-US" w:eastAsia="en-US"/>
        </w:rPr>
        <w:t xml:space="preserve">33 </w:t>
      </w:r>
      <w:r>
        <w:rPr>
          <w:rStyle w:val="CharStyle15"/>
        </w:rPr>
        <w:t>Закона о контрактной системе. Описание подготовлено, исходя из нужд Заказчика на основании ответов производителей (поставщиков) и изучения документов о технологических характеристиках предлагаемых ими товаров. Технические и функциональные характеристики отражают потребность заказчика в конкретном функционале.»</w:t>
      </w:r>
    </w:p>
    <w:p>
      <w:pPr>
        <w:pStyle w:val="Style14"/>
        <w:keepNext w:val="0"/>
        <w:keepLines w:val="0"/>
        <w:widowControl w:val="0"/>
        <w:shd w:val="clear" w:color="auto" w:fill="auto"/>
        <w:bidi w:val="0"/>
        <w:spacing w:before="0" w:after="0" w:line="240" w:lineRule="auto"/>
        <w:ind w:left="0" w:right="0" w:firstLine="880"/>
        <w:jc w:val="both"/>
      </w:pPr>
      <w:r>
        <w:rPr>
          <w:rStyle w:val="CharStyle15"/>
        </w:rPr>
        <w:t>Установлено, предметом закупки является поставка, а не производство товара. В электронном аукционе может участвовать неограниченное количество поставщиков, способных предложить требуемый к поставке товар, потенциальным участником закупки может быть любое лицо: как производитель товара, так и поставщик, которые готовы поставить товар, соответствующий требованиям извещения о проведении закупки.</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В электронном документе «Описание объекта закупки», размещенном в составе извещения, указал код НКМИ </w:t>
      </w:r>
      <w:r>
        <w:rPr>
          <w:rStyle w:val="CharStyle15"/>
          <w:lang w:val="en-US" w:eastAsia="en-US"/>
        </w:rPr>
        <w:t>- 291870.</w:t>
      </w:r>
    </w:p>
    <w:p>
      <w:pPr>
        <w:pStyle w:val="Style14"/>
        <w:keepNext w:val="0"/>
        <w:keepLines w:val="0"/>
        <w:widowControl w:val="0"/>
        <w:shd w:val="clear" w:color="auto" w:fill="auto"/>
        <w:bidi w:val="0"/>
        <w:spacing w:before="0" w:after="0" w:line="240" w:lineRule="auto"/>
        <w:ind w:left="0" w:right="0" w:firstLine="880"/>
        <w:jc w:val="both"/>
      </w:pPr>
      <w:r>
        <w:rPr>
          <w:rStyle w:val="CharStyle15"/>
        </w:rPr>
        <w:t>Источником финансового обеспечения средств республиканского бюджета на приобретение системы мониторинга нескольких жизненно важных физиологических показателей (в рамках реализации национального проекта «Продолжительная и активная жизнь») являются средства федерального бюджета, поступивших в рамках соглашения о предоставлении субсидии из федерального бюджета бюджету Республики Башкортостан в целях софинансирования расходных обязательств РБ, возникающих при реализации мероприятий по оснащению (дооснащению и (или) переоснащению) медицинскими изделиями перинатальных центров и родильных домов.</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Согласно пояснениям Заказчика, данный код НКМИ был применен в целях недопущения нецелевого использования денежных средств федерального бюджета, а именно закупки оборудования не из перечня, утвержденного в соответствии с приказом Министерства Здравоохранения Российской Федерации от </w:t>
      </w:r>
      <w:r>
        <w:rPr>
          <w:rStyle w:val="CharStyle15"/>
          <w:lang w:val="en-US" w:eastAsia="en-US"/>
        </w:rPr>
        <w:t xml:space="preserve">28 </w:t>
      </w:r>
      <w:r>
        <w:rPr>
          <w:rStyle w:val="CharStyle15"/>
        </w:rPr>
        <w:t xml:space="preserve">декабря </w:t>
      </w:r>
      <w:r>
        <w:rPr>
          <w:rStyle w:val="CharStyle15"/>
          <w:lang w:val="en-US" w:eastAsia="en-US"/>
        </w:rPr>
        <w:t xml:space="preserve">2020 </w:t>
      </w:r>
      <w:r>
        <w:rPr>
          <w:rStyle w:val="CharStyle15"/>
        </w:rPr>
        <w:t>г. №1379н «Об 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Согласно Решению Арбитражного суда города Москвы от </w:t>
      </w:r>
      <w:r>
        <w:rPr>
          <w:rStyle w:val="CharStyle15"/>
          <w:lang w:val="en-US" w:eastAsia="en-US"/>
        </w:rPr>
        <w:t xml:space="preserve">18.07.2024 </w:t>
      </w:r>
      <w:r>
        <w:rPr>
          <w:rStyle w:val="CharStyle15"/>
        </w:rPr>
        <w:t xml:space="preserve">по делу </w:t>
      </w:r>
      <w:r>
        <w:rPr>
          <w:rStyle w:val="CharStyle15"/>
          <w:lang w:val="en-US" w:eastAsia="en-US"/>
        </w:rPr>
        <w:t xml:space="preserve">№ </w:t>
      </w:r>
      <w:r>
        <w:rPr>
          <w:rStyle w:val="CharStyle15"/>
        </w:rPr>
        <w:t xml:space="preserve">А40- </w:t>
      </w:r>
      <w:r>
        <w:rPr>
          <w:rStyle w:val="CharStyle15"/>
          <w:lang w:val="en-US" w:eastAsia="en-US"/>
        </w:rPr>
        <w:t>29312/24-94-223:</w:t>
      </w:r>
    </w:p>
    <w:p>
      <w:pPr>
        <w:pStyle w:val="Style14"/>
        <w:keepNext w:val="0"/>
        <w:keepLines w:val="0"/>
        <w:widowControl w:val="0"/>
        <w:shd w:val="clear" w:color="auto" w:fill="auto"/>
        <w:bidi w:val="0"/>
        <w:spacing w:before="0" w:after="0" w:line="240" w:lineRule="auto"/>
        <w:ind w:left="0" w:right="0" w:firstLine="880"/>
        <w:jc w:val="both"/>
      </w:pPr>
      <w:r>
        <w:rPr>
          <w:rStyle w:val="CharStyle15"/>
        </w:rPr>
        <w:t xml:space="preserve">«Соответствие закупаемого медицинского оборудования Перечню №1379н является обязательным требованием в соответствии с положениями пункта </w:t>
      </w:r>
      <w:r>
        <w:rPr>
          <w:rStyle w:val="CharStyle15"/>
          <w:lang w:val="en-US" w:eastAsia="en-US"/>
        </w:rPr>
        <w:t xml:space="preserve">3 </w:t>
      </w:r>
      <w:r>
        <w:rPr>
          <w:rStyle w:val="CharStyle15"/>
        </w:rPr>
        <w:t>Правил предоставления и распределения субсидий из федерального бюджета бюджетам субъектов Российской Федерации для софинансирования расходных обязательств субъектов Российской Федерации, возникающих при реализации мероприятий региональных программ модернизации первичного звена здравоохранения и</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обеспечивающих достижение целей, показателей и результатов государственной программы Российской Федерации «Развитие здравоохранения», являющихся приложение </w:t>
      </w:r>
      <w:r>
        <w:rPr>
          <w:rStyle w:val="CharStyle15"/>
          <w:lang w:val="en-US" w:eastAsia="en-US"/>
        </w:rPr>
        <w:t xml:space="preserve">№ 10 </w:t>
      </w:r>
      <w:r>
        <w:rPr>
          <w:rStyle w:val="CharStyle15"/>
        </w:rPr>
        <w:t xml:space="preserve">к Государственной программе Российской Федерации «Развитие здравоохранения», утвержденной Постановлением Правительства Российской Федерации от </w:t>
      </w:r>
      <w:r>
        <w:rPr>
          <w:rStyle w:val="CharStyle15"/>
          <w:lang w:val="en-US" w:eastAsia="en-US"/>
        </w:rPr>
        <w:t xml:space="preserve">26.12.2017 № 1640, </w:t>
      </w:r>
      <w:r>
        <w:rPr>
          <w:rStyle w:val="CharStyle15"/>
        </w:rPr>
        <w:t xml:space="preserve">в соответствии с которыми представлены средства из федерального бюджета. Согласно Перечню медицинских изделий, утвержденному приказом Министерства здравоохранения Российской Федерации от </w:t>
      </w:r>
      <w:r>
        <w:rPr>
          <w:rStyle w:val="CharStyle15"/>
          <w:lang w:val="en-US" w:eastAsia="en-US"/>
        </w:rPr>
        <w:t xml:space="preserve">28.12.2020 </w:t>
      </w:r>
      <w:r>
        <w:rPr>
          <w:rStyle w:val="CharStyle15"/>
        </w:rPr>
        <w:t xml:space="preserve">№1379н, под номером </w:t>
      </w:r>
      <w:r>
        <w:rPr>
          <w:rStyle w:val="CharStyle15"/>
          <w:lang w:val="en-US" w:eastAsia="en-US"/>
        </w:rPr>
        <w:t xml:space="preserve">177 </w:t>
      </w:r>
      <w:r>
        <w:rPr>
          <w:rStyle w:val="CharStyle15"/>
        </w:rPr>
        <w:t xml:space="preserve">указано наименование оборудования (медицинского изделия) </w:t>
      </w:r>
      <w:r>
        <w:rPr>
          <w:rStyle w:val="CharStyle15"/>
          <w:lang w:val="en-US" w:eastAsia="en-US"/>
        </w:rPr>
        <w:t xml:space="preserve">- </w:t>
      </w:r>
      <w:r>
        <w:rPr>
          <w:rStyle w:val="CharStyle15"/>
        </w:rPr>
        <w:t xml:space="preserve">«Одеяло с подогревом (для оснащения фельдшерско-акушерского пункта, фельдшерского здравпункта)». К данному медицинскому изделию указаны следующие наименования вида медицинского изделия в соответствии с номенклатурной классификацией медицинских изделий: </w:t>
      </w:r>
      <w:r>
        <w:rPr>
          <w:rStyle w:val="CharStyle15"/>
          <w:lang w:val="en-US" w:eastAsia="en-US"/>
        </w:rPr>
        <w:t xml:space="preserve">- </w:t>
      </w:r>
      <w:r>
        <w:rPr>
          <w:rStyle w:val="CharStyle15"/>
        </w:rPr>
        <w:t xml:space="preserve">одеяло с конвекционным обогревом/охлаждением, одноразового использования, стерильное с указанием кода вида НКМИ </w:t>
      </w:r>
      <w:r>
        <w:rPr>
          <w:rStyle w:val="CharStyle15"/>
          <w:lang w:val="en-US" w:eastAsia="en-US"/>
        </w:rPr>
        <w:t xml:space="preserve">173060, - </w:t>
      </w:r>
      <w:r>
        <w:rPr>
          <w:rStyle w:val="CharStyle15"/>
        </w:rPr>
        <w:t xml:space="preserve">одеяло с конвекционным обогревом/охлаждением одноразового использования, нестерильное с указанием кода вида НКМИ </w:t>
      </w:r>
      <w:r>
        <w:rPr>
          <w:rStyle w:val="CharStyle15"/>
          <w:lang w:val="en-US" w:eastAsia="en-US"/>
        </w:rPr>
        <w:t xml:space="preserve">173030, - </w:t>
      </w:r>
      <w:r>
        <w:rPr>
          <w:rStyle w:val="CharStyle15"/>
        </w:rPr>
        <w:t xml:space="preserve">одеяло с конвекционным обогревом/охлаждением, многоразового использования с указанием кода НКМИ </w:t>
      </w:r>
      <w:r>
        <w:rPr>
          <w:rStyle w:val="CharStyle15"/>
          <w:lang w:val="en-US" w:eastAsia="en-US"/>
        </w:rPr>
        <w:t xml:space="preserve">173020, - </w:t>
      </w:r>
      <w:r>
        <w:rPr>
          <w:rStyle w:val="CharStyle15"/>
        </w:rPr>
        <w:t xml:space="preserve">система обогрева всего тела на основе электроодеяла с указанием кода НКМИ </w:t>
      </w:r>
      <w:r>
        <w:rPr>
          <w:rStyle w:val="CharStyle15"/>
          <w:lang w:val="en-US" w:eastAsia="en-US"/>
        </w:rPr>
        <w:t>290450».</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установление кода НКМИ обусловлено требованиями нормативных правовых актов и целевым использованием бюджетных средств.</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Заказчик указал в извещении код номенклатурной классификации медицинских изделий </w:t>
      </w:r>
      <w:r>
        <w:rPr>
          <w:rStyle w:val="CharStyle15"/>
          <w:lang w:val="en-US" w:eastAsia="en-US"/>
        </w:rPr>
        <w:t xml:space="preserve">190840 </w:t>
      </w:r>
      <w:r>
        <w:rPr>
          <w:rStyle w:val="CharStyle15"/>
        </w:rPr>
        <w:t xml:space="preserve">в соответствии с приказом Минздрава России от </w:t>
      </w:r>
      <w:r>
        <w:rPr>
          <w:rStyle w:val="CharStyle15"/>
          <w:lang w:val="en-US" w:eastAsia="en-US"/>
        </w:rPr>
        <w:t xml:space="preserve">19.12.2025 № </w:t>
      </w:r>
      <w:r>
        <w:rPr>
          <w:rStyle w:val="CharStyle15"/>
        </w:rPr>
        <w:t>747н «О порядке оказания медицинской помощи по профилю «акушерство и гинекология», которым утверждены стандарты оснащения соответствующих подразделений, а также, в соответствии с целевым назначением бюджетных средств, выделенных в рамках национального проекта «Семья».</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Закупка медицинского изделия с иным кодом НКМИ, нежели предусмотрено нормативным правовым актом или соглашением о предоставлении субсидии, может быть квалифицирована как нецелевое использование бюджетных средств (ст. </w:t>
      </w:r>
      <w:r>
        <w:rPr>
          <w:rStyle w:val="CharStyle15"/>
          <w:lang w:val="en-US" w:eastAsia="en-US"/>
        </w:rPr>
        <w:t xml:space="preserve">306.4 </w:t>
      </w:r>
      <w:r>
        <w:rPr>
          <w:rStyle w:val="CharStyle15"/>
        </w:rPr>
        <w:t xml:space="preserve">БК РФ, ст. </w:t>
      </w:r>
      <w:r>
        <w:rPr>
          <w:rStyle w:val="CharStyle15"/>
          <w:lang w:val="en-US" w:eastAsia="en-US"/>
        </w:rPr>
        <w:t xml:space="preserve">15.14 </w:t>
      </w:r>
      <w:r>
        <w:rPr>
          <w:rStyle w:val="CharStyle15"/>
        </w:rPr>
        <w:t>КоАП РФ).</w:t>
      </w:r>
    </w:p>
    <w:p>
      <w:pPr>
        <w:pStyle w:val="Style14"/>
        <w:keepNext w:val="0"/>
        <w:keepLines w:val="0"/>
        <w:widowControl w:val="0"/>
        <w:shd w:val="clear" w:color="auto" w:fill="auto"/>
        <w:bidi w:val="0"/>
        <w:spacing w:before="0" w:after="0" w:line="240" w:lineRule="auto"/>
        <w:ind w:left="0" w:right="0" w:firstLine="860"/>
        <w:jc w:val="both"/>
      </w:pPr>
      <w:r>
        <w:rPr>
          <w:rStyle w:val="CharStyle15"/>
        </w:rPr>
        <w:t>Фактически код вида медицинского изделия позволяет верно идентифицировать изделие среди множества других и определяет характерный набор медицинских и технических характеристик. Следовательно, медицинские изделия, имеющие различные числовые обозначения, не могут быть технически идентичными и взаимозаменяемыми.</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Согласно письму Минздрава России от </w:t>
      </w:r>
      <w:r>
        <w:rPr>
          <w:rStyle w:val="CharStyle15"/>
          <w:lang w:val="en-US" w:eastAsia="en-US"/>
        </w:rPr>
        <w:t xml:space="preserve">06.05.2025 № 25-3/4290, </w:t>
      </w:r>
      <w:r>
        <w:rPr>
          <w:rStyle w:val="CharStyle15"/>
        </w:rPr>
        <w:t>если средства субсидии предоставлены на закупку медицинских изделий с определенным кодом НКМИ, а фактически закуплены изделия с другим кодом, такие действия рассматриваются как нецелевое использование.</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исключение требования о соответствии кода НКМИ из документации сделает невозможным исполнение контракта без нарушения бюджетного законодательства.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 xml:space="preserve">Позиция совместного письма Минздрава России и ФАС России от </w:t>
      </w:r>
      <w:r>
        <w:rPr>
          <w:rStyle w:val="CharStyle15"/>
          <w:lang w:val="en-US" w:eastAsia="en-US"/>
        </w:rPr>
        <w:t xml:space="preserve">14.10.2024 </w:t>
      </w:r>
      <w:r>
        <w:rPr>
          <w:rStyle w:val="CharStyle15"/>
        </w:rPr>
        <w:t>не является бесспорной и не имеет обязательного характера для всех закупок,</w:t>
      </w:r>
    </w:p>
    <w:p>
      <w:pPr>
        <w:pStyle w:val="Style14"/>
        <w:keepNext w:val="0"/>
        <w:keepLines w:val="0"/>
        <w:widowControl w:val="0"/>
        <w:shd w:val="clear" w:color="auto" w:fill="auto"/>
        <w:bidi w:val="0"/>
        <w:spacing w:before="0" w:after="0" w:line="240" w:lineRule="auto"/>
        <w:ind w:left="0" w:right="0" w:firstLine="0"/>
        <w:jc w:val="both"/>
      </w:pPr>
      <w:r>
        <w:rPr>
          <w:rStyle w:val="CharStyle15"/>
        </w:rPr>
        <w:t>особенно для закупок, когда финансирование их осуществляется из федерального бюджета.</w:t>
      </w:r>
    </w:p>
    <w:p>
      <w:pPr>
        <w:pStyle w:val="Style14"/>
        <w:keepNext w:val="0"/>
        <w:keepLines w:val="0"/>
        <w:widowControl w:val="0"/>
        <w:shd w:val="clear" w:color="auto" w:fill="auto"/>
        <w:bidi w:val="0"/>
        <w:spacing w:before="0" w:after="0" w:line="240" w:lineRule="auto"/>
        <w:ind w:left="0" w:right="0" w:firstLine="860"/>
        <w:jc w:val="both"/>
      </w:pPr>
      <w:r>
        <w:rPr>
          <w:rStyle w:val="CharStyle15"/>
        </w:rPr>
        <w:t>Согласно правовой позиции арбитражных судов:</w:t>
      </w:r>
    </w:p>
    <w:p>
      <w:pPr>
        <w:pStyle w:val="Style14"/>
        <w:keepNext w:val="0"/>
        <w:keepLines w:val="0"/>
        <w:widowControl w:val="0"/>
        <w:numPr>
          <w:ilvl w:val="0"/>
          <w:numId w:val="1"/>
        </w:numPr>
        <w:shd w:val="clear" w:color="auto" w:fill="auto"/>
        <w:tabs>
          <w:tab w:pos="1285" w:val="left"/>
        </w:tabs>
        <w:bidi w:val="0"/>
        <w:spacing w:before="0" w:after="0" w:line="240" w:lineRule="auto"/>
        <w:ind w:left="0" w:right="0" w:firstLine="860"/>
        <w:jc w:val="both"/>
      </w:pPr>
      <w:r>
        <w:rPr>
          <w:rStyle w:val="CharStyle15"/>
        </w:rPr>
        <w:t xml:space="preserve">«Заказчик указал конкретный код вида НКМИ, который соответствует позиции КТРУ и полностью соответствует требованиям адресной региональной программы. Изложение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(см. Постановление Арбитражного суда Северо-Западного округа от </w:t>
      </w:r>
      <w:r>
        <w:rPr>
          <w:rStyle w:val="CharStyle15"/>
          <w:lang w:val="en-US" w:eastAsia="en-US"/>
        </w:rPr>
        <w:t xml:space="preserve">02.08.2024 </w:t>
      </w:r>
      <w:r>
        <w:rPr>
          <w:rStyle w:val="CharStyle15"/>
        </w:rPr>
        <w:t xml:space="preserve">по делу </w:t>
      </w:r>
      <w:r>
        <w:rPr>
          <w:rStyle w:val="CharStyle15"/>
          <w:lang w:val="en-US" w:eastAsia="en-US"/>
        </w:rPr>
        <w:t xml:space="preserve">№ </w:t>
      </w:r>
      <w:r>
        <w:rPr>
          <w:rStyle w:val="CharStyle15"/>
        </w:rPr>
        <w:t xml:space="preserve">А13- </w:t>
      </w:r>
      <w:r>
        <w:rPr>
          <w:rStyle w:val="CharStyle15"/>
          <w:lang w:val="en-US" w:eastAsia="en-US"/>
        </w:rPr>
        <w:t>10118/2023).</w:t>
      </w:r>
    </w:p>
    <w:p>
      <w:pPr>
        <w:pStyle w:val="Style14"/>
        <w:keepNext w:val="0"/>
        <w:keepLines w:val="0"/>
        <w:widowControl w:val="0"/>
        <w:numPr>
          <w:ilvl w:val="0"/>
          <w:numId w:val="1"/>
        </w:numPr>
        <w:shd w:val="clear" w:color="auto" w:fill="auto"/>
        <w:tabs>
          <w:tab w:pos="1285" w:val="left"/>
        </w:tabs>
        <w:bidi w:val="0"/>
        <w:spacing w:before="0" w:after="0" w:line="240" w:lineRule="auto"/>
        <w:ind w:left="0" w:right="0" w:firstLine="860"/>
        <w:jc w:val="both"/>
      </w:pPr>
      <w:r>
        <w:rPr>
          <w:rStyle w:val="CharStyle15"/>
        </w:rPr>
        <w:t xml:space="preserve">«Код НКМИ, указанный в регистрационном удостоверении, должен соответствовать позиции КТРУ, выбранной заказчиком. Письмо Минздрава России и ФАС России от </w:t>
      </w:r>
      <w:r>
        <w:rPr>
          <w:rStyle w:val="CharStyle15"/>
          <w:lang w:val="en-US" w:eastAsia="en-US"/>
        </w:rPr>
        <w:t xml:space="preserve">14.10.2024 </w:t>
      </w:r>
      <w:r>
        <w:rPr>
          <w:rStyle w:val="CharStyle15"/>
        </w:rPr>
        <w:t xml:space="preserve">не является правовым актом и носит информационный характер» (см. Постановление Седьмого арбитражного апелляционного суда от </w:t>
      </w:r>
      <w:r>
        <w:rPr>
          <w:rStyle w:val="CharStyle15"/>
          <w:lang w:val="en-US" w:eastAsia="en-US"/>
        </w:rPr>
        <w:t xml:space="preserve">24.07.20125 </w:t>
      </w:r>
      <w:r>
        <w:rPr>
          <w:rStyle w:val="CharStyle15"/>
        </w:rPr>
        <w:t>по делу МА45-5655/2025).</w:t>
      </w:r>
    </w:p>
    <w:p>
      <w:pPr>
        <w:pStyle w:val="Style14"/>
        <w:keepNext w:val="0"/>
        <w:keepLines w:val="0"/>
        <w:widowControl w:val="0"/>
        <w:shd w:val="clear" w:color="auto" w:fill="auto"/>
        <w:bidi w:val="0"/>
        <w:spacing w:before="0" w:after="0" w:line="240" w:lineRule="auto"/>
        <w:ind w:left="0" w:right="0" w:firstLine="860"/>
        <w:jc w:val="both"/>
      </w:pPr>
      <w:r>
        <w:rPr>
          <w:rStyle w:val="CharStyle15"/>
        </w:rPr>
        <w:t>Таким образом, изучив содержание всех представленных пояснений, документов и иной информации, комиссией Башкортостанского УФАС России, в действиях Заказчика, Уполномоченного учреждения нарушений законодательства о контрактной системе в сфере закупок для государственных и муниципальных нужд не установлено.</w:t>
      </w:r>
    </w:p>
    <w:p>
      <w:pPr>
        <w:pStyle w:val="Style14"/>
        <w:keepNext w:val="0"/>
        <w:keepLines w:val="0"/>
        <w:widowControl w:val="0"/>
        <w:shd w:val="clear" w:color="auto" w:fill="auto"/>
        <w:bidi w:val="0"/>
        <w:spacing w:before="0" w:after="0" w:line="240" w:lineRule="auto"/>
        <w:ind w:left="0" w:right="0" w:firstLine="860"/>
        <w:jc w:val="both"/>
      </w:pPr>
      <w:r>
        <w:rPr>
          <w:rStyle w:val="CharStyle15"/>
        </w:rPr>
        <w:t>Жалоба признается необоснованной.</w:t>
      </w:r>
    </w:p>
    <w:p>
      <w:pPr>
        <w:pStyle w:val="Style14"/>
        <w:keepNext w:val="0"/>
        <w:keepLines w:val="0"/>
        <w:widowControl w:val="0"/>
        <w:shd w:val="clear" w:color="auto" w:fill="auto"/>
        <w:bidi w:val="0"/>
        <w:spacing w:before="0" w:after="200" w:line="240" w:lineRule="auto"/>
        <w:ind w:left="0" w:right="0" w:firstLine="860"/>
        <w:jc w:val="both"/>
      </w:pPr>
      <w:r>
        <w:rPr>
          <w:rStyle w:val="CharStyle15"/>
        </w:rPr>
        <w:t xml:space="preserve">На основании вышеизложенного и руководствуясь ст. </w:t>
      </w:r>
      <w:r>
        <w:rPr>
          <w:rStyle w:val="CharStyle15"/>
          <w:lang w:val="en-US" w:eastAsia="en-US"/>
        </w:rPr>
        <w:t xml:space="preserve">99 </w:t>
      </w:r>
      <w:r>
        <w:rPr>
          <w:rStyle w:val="CharStyle15"/>
        </w:rPr>
        <w:t xml:space="preserve">Федерального закона от 05.04.2013г. </w:t>
      </w:r>
      <w:r>
        <w:rPr>
          <w:rStyle w:val="CharStyle15"/>
          <w:lang w:val="en-US" w:eastAsia="en-US"/>
        </w:rPr>
        <w:t xml:space="preserve">№ </w:t>
      </w:r>
      <w:r>
        <w:rPr>
          <w:rStyle w:val="CharStyle15"/>
        </w:rPr>
        <w:t>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4"/>
        <w:keepNext w:val="0"/>
        <w:keepLines w:val="0"/>
        <w:widowControl w:val="0"/>
        <w:shd w:val="clear" w:color="auto" w:fill="auto"/>
        <w:bidi w:val="0"/>
        <w:spacing w:before="0" w:after="200" w:line="240" w:lineRule="auto"/>
        <w:ind w:left="0" w:right="0" w:firstLine="0"/>
        <w:jc w:val="center"/>
      </w:pPr>
      <w:r>
        <w:rPr>
          <w:rStyle w:val="CharStyle15"/>
          <w:b/>
          <w:bCs/>
        </w:rPr>
        <w:t>РЕШИЛА:</w:t>
      </w:r>
    </w:p>
    <w:p>
      <w:pPr>
        <w:pStyle w:val="Style14"/>
        <w:keepNext w:val="0"/>
        <w:keepLines w:val="0"/>
        <w:widowControl w:val="0"/>
        <w:shd w:val="clear" w:color="auto" w:fill="auto"/>
        <w:bidi w:val="0"/>
        <w:spacing w:before="0" w:after="260" w:line="240" w:lineRule="auto"/>
        <w:ind w:left="0" w:right="0" w:firstLine="860"/>
        <w:jc w:val="both"/>
      </w:pPr>
      <w:r>
        <w:rPr>
          <w:rStyle w:val="CharStyle15"/>
        </w:rPr>
        <w:t>Признать жалобу ООО «НЕЙРО-ГРУПП» необоснованной.</w:t>
      </w:r>
    </w:p>
    <w:p>
      <w:pPr>
        <w:pStyle w:val="Style14"/>
        <w:keepNext w:val="0"/>
        <w:keepLines w:val="0"/>
        <w:widowControl w:val="0"/>
        <w:shd w:val="clear" w:color="auto" w:fill="auto"/>
        <w:bidi w:val="0"/>
        <w:spacing w:before="0" w:after="200" w:line="240" w:lineRule="auto"/>
        <w:ind w:left="0" w:right="0" w:firstLine="860"/>
        <w:jc w:val="both"/>
      </w:pPr>
      <w:r>
        <w:rPr>
          <w:rStyle w:val="CharStyle15"/>
        </w:rPr>
        <w:t>Решение может быть обжаловано в течение трех месяцев со дня его принятия.</w:t>
      </w:r>
    </w:p>
    <w:p>
      <w:pPr>
        <w:pStyle w:val="Style14"/>
        <w:keepNext w:val="0"/>
        <w:keepLines w:val="0"/>
        <w:widowControl w:val="0"/>
        <w:shd w:val="clear" w:color="auto" w:fill="auto"/>
        <w:tabs>
          <w:tab w:pos="8408" w:val="left"/>
        </w:tabs>
        <w:bidi w:val="0"/>
        <w:spacing w:before="0" w:after="200" w:line="240" w:lineRule="auto"/>
        <w:ind w:left="0" w:right="0" w:firstLine="0"/>
        <w:jc w:val="both"/>
      </w:pPr>
      <w:r>
        <w:rPr>
          <w:rStyle w:val="CharStyle15"/>
        </w:rPr>
        <w:t>Председатель Комиссии</w:t>
        <w:tab/>
        <w:t>Агзамова Д.Р.</w:t>
      </w:r>
    </w:p>
    <w:p>
      <w:pPr>
        <w:pStyle w:val="Style14"/>
        <w:keepNext w:val="0"/>
        <w:keepLines w:val="0"/>
        <w:widowControl w:val="0"/>
        <w:shd w:val="clear" w:color="auto" w:fill="auto"/>
        <w:tabs>
          <w:tab w:pos="8408" w:val="left"/>
        </w:tabs>
        <w:bidi w:val="0"/>
        <w:spacing w:before="0" w:after="200" w:line="240" w:lineRule="auto"/>
        <w:ind w:left="0" w:right="0" w:firstLine="0"/>
        <w:jc w:val="both"/>
      </w:pPr>
      <w:r>
        <w:rPr>
          <w:rStyle w:val="CharStyle15"/>
        </w:rPr>
        <w:t>Члены комиссии</w:t>
        <w:tab/>
        <w:t>Исламов И.Т.</w:t>
      </w:r>
    </w:p>
    <w:p>
      <w:pPr>
        <w:pStyle w:val="Style14"/>
        <w:keepNext w:val="0"/>
        <w:keepLines w:val="0"/>
        <w:widowControl w:val="0"/>
        <w:shd w:val="clear" w:color="auto" w:fill="auto"/>
        <w:bidi w:val="0"/>
        <w:spacing w:before="0" w:after="260" w:line="240" w:lineRule="auto"/>
        <w:ind w:left="0" w:right="0" w:firstLine="0"/>
        <w:jc w:val="right"/>
      </w:pPr>
      <w:r>
        <w:rPr>
          <w:rStyle w:val="CharStyle15"/>
        </w:rPr>
        <w:t>Шакиров Д.Р.</w:t>
      </w:r>
    </w:p>
    <w:p>
      <w:pPr>
        <w:pStyle w:val="Style14"/>
        <w:keepNext w:val="0"/>
        <w:keepLines w:val="0"/>
        <w:widowControl w:val="0"/>
        <w:shd w:val="clear" w:color="auto" w:fill="auto"/>
        <w:tabs>
          <w:tab w:pos="8408" w:val="left"/>
        </w:tabs>
        <w:bidi w:val="0"/>
        <w:spacing w:before="0" w:after="200" w:line="240" w:lineRule="auto"/>
        <w:ind w:left="0" w:right="0" w:firstLine="0"/>
        <w:jc w:val="both"/>
      </w:pPr>
      <w:r>
        <w:rPr>
          <w:rStyle w:val="CharStyle15"/>
        </w:rPr>
        <w:t>Врио начальника отдела</w:t>
        <w:tab/>
        <w:t>Д.Р. Агзамова</w:t>
      </w:r>
      <w:r>
        <w:br w:type="page"/>
      </w:r>
    </w:p>
    <w:p>
      <w:pPr>
        <w:pStyle w:val="Style17"/>
        <w:keepNext w:val="0"/>
        <w:keepLines w:val="0"/>
        <w:widowControl w:val="0"/>
        <w:shd w:val="clear" w:color="auto" w:fill="auto"/>
        <w:bidi w:val="0"/>
        <w:spacing w:before="0" w:after="106" w:line="240" w:lineRule="auto"/>
        <w:ind w:left="0" w:right="0" w:firstLine="0"/>
        <w:jc w:val="left"/>
      </w:pPr>
      <w:r>
        <w:drawing>
          <wp:anchor distT="0" distB="0" distL="76200" distR="76200" simplePos="0" relativeHeight="125829382" behindDoc="0" locked="0" layoutInCell="1" allowOverlap="1">
            <wp:simplePos x="0" y="0"/>
            <wp:positionH relativeFrom="page">
              <wp:posOffset>2550795</wp:posOffset>
            </wp:positionH>
            <wp:positionV relativeFrom="margin">
              <wp:posOffset>631825</wp:posOffset>
            </wp:positionV>
            <wp:extent cx="347345" cy="40259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5"/>
                    <a:stretch/>
                  </pic:blipFill>
                  <pic:spPr>
                    <a:xfrm>
                      <a:ext cx="347345" cy="402590"/>
                    </a:xfrm>
                    <a:prstGeom prst="rect"/>
                  </pic:spPr>
                </pic:pic>
              </a:graphicData>
            </a:graphic>
          </wp:anchor>
        </w:drawing>
      </w:r>
      <w:r>
        <w:rPr>
          <w:rStyle w:val="CharStyle18"/>
          <w:b/>
          <w:bCs/>
        </w:rPr>
        <w:t>Подлинник электронного документа, подписанного ЭП, хранится в системе электронного документооборота ФАС России</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2" w:line="240" w:lineRule="auto"/>
        <w:ind w:left="0" w:right="0" w:firstLine="0"/>
        <w:jc w:val="center"/>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Агзамова Диана Раяновна</w:t>
      </w:r>
    </w:p>
    <w:p>
      <w:pPr>
        <w:pStyle w:val="Style21"/>
        <w:keepNext w:val="0"/>
        <w:keepLines w:val="0"/>
        <w:widowControl w:val="0"/>
        <w:shd w:val="clear" w:color="auto" w:fill="auto"/>
        <w:bidi w:val="0"/>
        <w:spacing w:before="0" w:after="0" w:line="240" w:lineRule="auto"/>
        <w:ind w:right="0" w:firstLine="0"/>
        <w:jc w:val="left"/>
      </w:pPr>
      <w:r>
        <w:rPr>
          <w:rStyle w:val="CharStyle22"/>
        </w:rPr>
        <w:t>Сертификат № 221</w:t>
      </w:r>
      <w:r>
        <w:rPr>
          <w:rStyle w:val="CharStyle22"/>
          <w:lang w:val="en-US" w:eastAsia="en-US"/>
        </w:rPr>
        <w:t>39E6FCE978F1DC93971</w:t>
      </w:r>
      <w:r>
        <w:rPr>
          <w:rStyle w:val="CharStyle22"/>
        </w:rPr>
        <w:t>1</w:t>
      </w:r>
      <w:r>
        <w:rPr>
          <w:rStyle w:val="CharStyle22"/>
          <w:lang w:val="en-US" w:eastAsia="en-US"/>
        </w:rPr>
        <w:t>A8E7A69D9</w:t>
      </w:r>
    </w:p>
    <w:p>
      <w:pPr>
        <w:pStyle w:val="Style21"/>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469" w:right="539" w:bottom="1324" w:left="1104" w:header="0" w:footer="3" w:gutter="0"/>
          <w:cols w:space="720"/>
          <w:noEndnote/>
          <w:rtlGutter w:val="0"/>
          <w:docGrid w:linePitch="360"/>
        </w:sectPr>
      </w:pPr>
      <w:r>
        <w:rPr>
          <w:rStyle w:val="CharStyle22"/>
        </w:rPr>
        <w:t>Действителен с 09.06.2025 по 02.09.2026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94" w:right="0" w:bottom="1494"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left"/>
      </w:pPr>
      <w:r>
        <w:rPr>
          <w:rStyle w:val="CharStyle12"/>
        </w:rPr>
        <w:t>Исп.Исламов И.Т.</w:t>
      </w:r>
    </w:p>
    <w:p>
      <w:pPr>
        <w:pStyle w:val="Style11"/>
        <w:keepNext w:val="0"/>
        <w:keepLines w:val="0"/>
        <w:widowControl w:val="0"/>
        <w:shd w:val="clear" w:color="auto" w:fill="auto"/>
        <w:bidi w:val="0"/>
        <w:spacing w:before="0" w:after="0" w:line="240" w:lineRule="auto"/>
        <w:ind w:left="0" w:right="0" w:firstLine="0"/>
        <w:jc w:val="left"/>
      </w:pPr>
      <w:r>
        <w:rPr>
          <w:rStyle w:val="CharStyle12"/>
        </w:rPr>
        <w:t>тел.(347) 216-33-54</w:t>
      </w:r>
    </w:p>
    <w:sectPr>
      <w:footnotePr>
        <w:pos w:val="pageBottom"/>
        <w:numFmt w:val="decimal"/>
        <w:numRestart w:val="continuous"/>
      </w:footnotePr>
      <w:type w:val="continuous"/>
      <w:pgSz w:w="11900" w:h="16840"/>
      <w:pgMar w:top="1494" w:right="8936" w:bottom="149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10006330</wp:posOffset>
              </wp:positionV>
              <wp:extent cx="648970" cy="106680"/>
              <wp:wrapNone/>
              <wp:docPr id="2" name="Shape 2"/>
              <a:graphic xmlns:a="http://schemas.openxmlformats.org/drawingml/2006/main">
                <a:graphicData uri="http://schemas.microsoft.com/office/word/2010/wordprocessingShape">
                  <wps:wsp>
                    <wps:cNvSpPr txBox="1"/>
                    <wps:spPr>
                      <a:xfrm>
                        <a:ext cx="6489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2026-5849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75pt;margin-top:787.89999999999998pt;width:51.10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2026-5849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48970" cy="109855"/>
              <wp:wrapNone/>
              <wp:docPr id="4" name="Shape 4"/>
              <a:graphic xmlns:a="http://schemas.openxmlformats.org/drawingml/2006/main">
                <a:graphicData uri="http://schemas.microsoft.com/office/word/2010/wordprocessingShape">
                  <wps:wsp>
                    <wps:cNvSpPr txBox="1"/>
                    <wps:spPr>
                      <a:xfrm>
                        <a:ext cx="6489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2026-5849</w:t>
                          </w:r>
                        </w:p>
                      </w:txbxContent>
                    </wps:txbx>
                    <wps:bodyPr wrap="none" lIns="0" tIns="0" rIns="0" bIns="0">
                      <a:spAutoFit/>
                    </wps:bodyPr>
                  </wps:wsp>
                </a:graphicData>
              </a:graphic>
            </wp:anchor>
          </w:drawing>
        </mc:Choice>
        <mc:Fallback>
          <w:pict>
            <v:shape id="_x0000_s1030" type="#_x0000_t202" style="position:absolute;margin-left:56.75pt;margin-top:775.70000000000005pt;width:51.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2026-5849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12">
    <w:name w:val="Body text (6)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Body text (4)_"/>
    <w:basedOn w:val="DefaultParagraphFont"/>
    <w:link w:val="Style17"/>
    <w:rPr>
      <w:rFonts w:ascii="Times New Roman" w:eastAsia="Times New Roman" w:hAnsi="Times New Roman" w:cs="Times New Roman"/>
      <w:b/>
      <w:bCs/>
      <w:i w:val="0"/>
      <w:iCs w:val="0"/>
      <w:smallCaps w:val="0"/>
      <w:strike w:val="0"/>
      <w:color w:val="2F2F2F"/>
      <w:sz w:val="12"/>
      <w:szCs w:val="12"/>
      <w:u w:val="none"/>
    </w:rPr>
  </w:style>
  <w:style w:type="character" w:customStyle="1" w:styleId="CharStyle20">
    <w:name w:val="Body text (7)_"/>
    <w:basedOn w:val="DefaultParagraphFont"/>
    <w:link w:val="Style19"/>
    <w:rPr>
      <w:rFonts w:ascii="Georgia" w:eastAsia="Georgia" w:hAnsi="Georgia" w:cs="Georgia"/>
      <w:b w:val="0"/>
      <w:bCs w:val="0"/>
      <w:i w:val="0"/>
      <w:iCs w:val="0"/>
      <w:smallCaps w:val="0"/>
      <w:strike w:val="0"/>
      <w:color w:val="EBEBEB"/>
      <w:sz w:val="13"/>
      <w:szCs w:val="13"/>
      <w:u w:val="none"/>
    </w:rPr>
  </w:style>
  <w:style w:type="character" w:customStyle="1" w:styleId="CharStyle22">
    <w:name w:val="Body text (3)_"/>
    <w:basedOn w:val="DefaultParagraphFont"/>
    <w:link w:val="Style21"/>
    <w:rPr>
      <w:rFonts w:ascii="Arial" w:eastAsia="Arial" w:hAnsi="Arial" w:cs="Arial"/>
      <w:b w:val="0"/>
      <w:bCs w:val="0"/>
      <w:i w:val="0"/>
      <w:iCs w:val="0"/>
      <w:smallCaps w:val="0"/>
      <w:strike w:val="0"/>
      <w:color w:val="2F2F2F"/>
      <w:sz w:val="13"/>
      <w:szCs w:val="13"/>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8">
    <w:name w:val="Body text (5)"/>
    <w:basedOn w:val="Normal"/>
    <w:link w:val="CharStyle9"/>
    <w:pPr>
      <w:widowControl w:val="0"/>
      <w:shd w:val="clear" w:color="auto" w:fill="auto"/>
      <w:spacing w:after="230"/>
      <w:jc w:val="center"/>
    </w:pPr>
    <w:rPr>
      <w:rFonts w:ascii="Times New Roman" w:eastAsia="Times New Roman" w:hAnsi="Times New Roman" w:cs="Times New Roman"/>
      <w:b/>
      <w:bCs/>
      <w:i w:val="0"/>
      <w:iCs w:val="0"/>
      <w:smallCaps w:val="0"/>
      <w:strike w:val="0"/>
      <w:color w:val="486299"/>
      <w:sz w:val="19"/>
      <w:szCs w:val="19"/>
      <w:u w:val="none"/>
    </w:rPr>
  </w:style>
  <w:style w:type="paragraph" w:customStyle="1" w:styleId="Style11">
    <w:name w:val="Body text (6)"/>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Body text (4)"/>
    <w:basedOn w:val="Normal"/>
    <w:link w:val="CharStyle18"/>
    <w:pPr>
      <w:widowControl w:val="0"/>
      <w:shd w:val="clear" w:color="auto" w:fill="auto"/>
      <w:spacing w:after="120"/>
    </w:pPr>
    <w:rPr>
      <w:rFonts w:ascii="Times New Roman" w:eastAsia="Times New Roman" w:hAnsi="Times New Roman" w:cs="Times New Roman"/>
      <w:b/>
      <w:bCs/>
      <w:i w:val="0"/>
      <w:iCs w:val="0"/>
      <w:smallCaps w:val="0"/>
      <w:strike w:val="0"/>
      <w:color w:val="2F2F2F"/>
      <w:sz w:val="12"/>
      <w:szCs w:val="12"/>
      <w:u w:val="none"/>
    </w:rPr>
  </w:style>
  <w:style w:type="paragraph" w:customStyle="1" w:styleId="Style19">
    <w:name w:val="Body text (7)"/>
    <w:basedOn w:val="Normal"/>
    <w:link w:val="CharStyle20"/>
    <w:pPr>
      <w:widowControl w:val="0"/>
      <w:shd w:val="clear" w:color="auto" w:fill="auto"/>
      <w:spacing w:after="120"/>
      <w:jc w:val="center"/>
    </w:pPr>
    <w:rPr>
      <w:rFonts w:ascii="Georgia" w:eastAsia="Georgia" w:hAnsi="Georgia" w:cs="Georgia"/>
      <w:b w:val="0"/>
      <w:bCs w:val="0"/>
      <w:i w:val="0"/>
      <w:iCs w:val="0"/>
      <w:smallCaps w:val="0"/>
      <w:strike w:val="0"/>
      <w:color w:val="EBEBEB"/>
      <w:sz w:val="13"/>
      <w:szCs w:val="13"/>
      <w:u w:val="none"/>
    </w:rPr>
  </w:style>
  <w:style w:type="paragraph" w:customStyle="1" w:styleId="Style21">
    <w:name w:val="Body text (3)"/>
    <w:basedOn w:val="Normal"/>
    <w:link w:val="CharStyle22"/>
    <w:pPr>
      <w:widowControl w:val="0"/>
      <w:shd w:val="clear" w:color="auto" w:fill="auto"/>
      <w:ind w:left="2900"/>
    </w:pPr>
    <w:rPr>
      <w:rFonts w:ascii="Arial" w:eastAsia="Arial" w:hAnsi="Arial" w:cs="Arial"/>
      <w:b w:val="0"/>
      <w:bCs w:val="0"/>
      <w:i w:val="0"/>
      <w:iCs w:val="0"/>
      <w:smallCaps w:val="0"/>
      <w:strike w:val="0"/>
      <w:color w:val="2F2F2F"/>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