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9"/>
          <w:b/>
          <w:bCs/>
        </w:rPr>
        <w:t>УПРАВЛЕНИЕ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rStyle w:val="CharStyle9"/>
          <w:b/>
          <w:bCs/>
        </w:rPr>
        <w:t>Федеральной антимонопольной службы</w:t>
        <w:br/>
        <w:t>по Астраханской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6"/>
        </w:rPr>
        <w:t>ул. Шаумяна, 47, г. Астрахань, 414000, а/я 267</w:t>
        <w:br/>
        <w:t>тел./факс (8512) 39-05-80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80"/>
        <w:ind w:left="0" w:right="0" w:firstLine="0"/>
        <w:jc w:val="center"/>
      </w:pPr>
      <w:r>
        <w:rPr>
          <w:rStyle w:val="CharStyle6"/>
          <w:lang w:val="en-US" w:eastAsia="en-US"/>
        </w:rPr>
        <w:t xml:space="preserve">e-mail: </w:t>
      </w:r>
      <w:r>
        <w:fldChar w:fldCharType="begin"/>
      </w:r>
      <w:r>
        <w:rPr/>
        <w:instrText> HYPERLINK "mailto:to30@fas.gov.ru" </w:instrText>
      </w:r>
      <w:r>
        <w:fldChar w:fldCharType="separate"/>
      </w:r>
      <w:r>
        <w:rPr>
          <w:rStyle w:val="CharStyle6"/>
          <w:lang w:val="en-US" w:eastAsia="en-US"/>
        </w:rPr>
        <w:t>to30@fas.gov.ru</w:t>
      </w:r>
      <w:r>
        <w:fldChar w:fldCharType="end"/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leader="underscore" w:pos="1766" w:val="left"/>
          <w:tab w:leader="underscore" w:pos="3926" w:val="left"/>
        </w:tabs>
        <w:bidi w:val="0"/>
        <w:spacing w:before="0" w:after="240" w:line="276" w:lineRule="auto"/>
        <w:ind w:left="0" w:right="0" w:firstLine="0"/>
        <w:jc w:val="center"/>
        <w:rPr>
          <w:sz w:val="18"/>
          <w:szCs w:val="18"/>
        </w:rPr>
      </w:pPr>
      <w:r>
        <w:rPr>
          <w:rStyle w:val="CharStyle9"/>
          <w:sz w:val="18"/>
          <w:szCs w:val="18"/>
        </w:rPr>
        <w:tab/>
        <w:t xml:space="preserve"> №</w:t>
        <w:tab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left"/>
        <w:rPr>
          <w:sz w:val="18"/>
          <w:szCs w:val="18"/>
        </w:rPr>
      </w:pPr>
      <w:r>
        <w:rPr>
          <w:rStyle w:val="CharStyle12"/>
          <w:color w:val="476198"/>
          <w:sz w:val="18"/>
          <w:szCs w:val="18"/>
        </w:rPr>
        <w:t xml:space="preserve">На №  от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597150" cy="18288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Государственное бюджетное учреждение здравоохранения Астраханской области «Областной клинический онкологический диспансер»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414047, г. Астрахань, ул. 11-й Красной Армии, стр. 2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fldChar w:fldCharType="begin"/>
      </w:r>
      <w:r>
        <w:rPr/>
        <w:instrText> HYPERLINK "mailto:okod@astrobl.ru" </w:instrText>
      </w:r>
      <w:r>
        <w:fldChar w:fldCharType="separate"/>
      </w:r>
      <w:r>
        <w:rPr>
          <w:rStyle w:val="CharStyle15"/>
          <w:lang w:val="en-US" w:eastAsia="en-US"/>
        </w:rPr>
        <w:t>okod@astrobl.ru</w:t>
      </w:r>
      <w:r>
        <w:fldChar w:fldCharType="end"/>
      </w:r>
      <w:r>
        <w:rPr>
          <w:rStyle w:val="CharStyle15"/>
          <w:lang w:val="en-US" w:eastAsia="en-US"/>
        </w:rPr>
        <w:t xml:space="preserve">; </w:t>
      </w:r>
      <w:r>
        <w:fldChar w:fldCharType="begin"/>
      </w:r>
      <w:r>
        <w:rPr/>
        <w:instrText> HYPERLINK "mailto:markood@mail.ru" </w:instrText>
      </w:r>
      <w:r>
        <w:fldChar w:fldCharType="separate"/>
      </w:r>
      <w:r>
        <w:rPr>
          <w:rStyle w:val="CharStyle15"/>
          <w:lang w:val="en-US" w:eastAsia="en-US"/>
        </w:rPr>
        <w:t>markood@mail.ru</w:t>
      </w:r>
      <w:r>
        <w:fldChar w:fldCharType="end"/>
      </w:r>
      <w:r>
        <w:rPr>
          <w:rStyle w:val="CharStyle15"/>
          <w:lang w:val="en-US" w:eastAsia="en-US"/>
        </w:rPr>
        <w:t>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"mailto:dispanser2008@yandex.ru" </w:instrText>
      </w:r>
      <w:r>
        <w:fldChar w:fldCharType="separate"/>
      </w:r>
      <w:r>
        <w:rPr>
          <w:rStyle w:val="CharStyle15"/>
          <w:lang w:val="en-US" w:eastAsia="en-US"/>
        </w:rPr>
        <w:t>dispanser2008@yandex.ru</w:t>
      </w:r>
      <w:r>
        <w:fldChar w:fldCharType="end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ИП Карпач Е.И.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5"/>
        </w:rPr>
        <w:t xml:space="preserve">354000, Краснодарский край, г. Сочи, ул. Дагомысская, д. 8, кв. 30 </w:t>
      </w:r>
      <w:r>
        <w:fldChar w:fldCharType="begin"/>
      </w:r>
      <w:r>
        <w:rPr/>
        <w:instrText> HYPERLINK "mailto:karpach.alex@mail.ru" </w:instrText>
      </w:r>
      <w:r>
        <w:fldChar w:fldCharType="separate"/>
      </w:r>
      <w:r>
        <w:rPr>
          <w:rStyle w:val="CharStyle15"/>
          <w:lang w:val="en-US" w:eastAsia="en-US"/>
        </w:rPr>
        <w:t>karpach.alex@mail.ru</w:t>
      </w:r>
      <w:r>
        <w:fldChar w:fldCharType="end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5"/>
        </w:rPr>
        <w:t>Государственное казенное учреждение Астраханской области «Региональный центр организации закупок» 414000, Астрахань г, ул. Ленина, 20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79" w:right="819" w:bottom="1221" w:left="1135" w:header="0" w:footer="3" w:gutter="0"/>
          <w:pgNumType w:start="1"/>
          <w:cols w:num="2" w:space="720" w:equalWidth="0">
            <w:col w:w="4099" w:space="1171"/>
            <w:col w:w="4675"/>
          </w:cols>
          <w:noEndnote/>
          <w:titlePg/>
          <w:rtlGutter w:val="0"/>
          <w:docGrid w:linePitch="360"/>
        </w:sectPr>
      </w:pPr>
      <w:r>
        <w:fldChar w:fldCharType="begin"/>
      </w:r>
      <w:r>
        <w:rPr/>
        <w:instrText> HYPERLINK "mailto:rcoz@astrmail.ru" </w:instrText>
      </w:r>
      <w:r>
        <w:fldChar w:fldCharType="separate"/>
      </w:r>
      <w:r>
        <w:rPr>
          <w:rStyle w:val="CharStyle15"/>
          <w:lang w:val="en-US" w:eastAsia="en-US"/>
        </w:rPr>
        <w:t>rcoz@astrmail.ru</w:t>
      </w:r>
      <w:r>
        <w:fldChar w:fldCharType="end"/>
      </w:r>
    </w:p>
    <w:p>
      <w:pPr>
        <w:widowControl w:val="0"/>
        <w:spacing w:line="107" w:lineRule="exact"/>
        <w:rPr>
          <w:sz w:val="9"/>
          <w:szCs w:val="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79" w:right="0" w:bottom="122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rStyle w:val="CharStyle18"/>
          <w:b/>
          <w:bCs/>
        </w:rPr>
        <w:t>РЕШЕНИЕ № 030/06/105-482/2026</w:t>
      </w:r>
      <w:bookmarkEnd w:id="0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5"/>
          <w:b/>
          <w:bCs/>
        </w:rPr>
        <w:t>по делу о нарушении законодательства о контрактной системе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6106795</wp:posOffset>
                </wp:positionH>
                <wp:positionV relativeFrom="paragraph">
                  <wp:posOffset>12700</wp:posOffset>
                </wp:positionV>
                <wp:extent cx="1027430" cy="255905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743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5"/>
                                <w:b/>
                                <w:bCs/>
                              </w:rPr>
                              <w:t>г. Астрахань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80.85000000000002pt;margin-top:1.pt;width:80.900000000000006pt;height:20.150000000000002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5"/>
                          <w:b/>
                          <w:bCs/>
                        </w:rPr>
                        <w:t>г. Астрахань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5"/>
          <w:b/>
          <w:bCs/>
        </w:rPr>
        <w:t>«15» мая 2026 года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5"/>
        </w:rPr>
        <w:t>Комиссия по контролю в сфере закупок на территории Астраханской области утвержденная приказом руководителя Астраханского УФАС России (далее – Комиссия), в составе: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5"/>
          <w:b/>
          <w:bCs/>
        </w:rPr>
        <w:t>председателя комиссии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5"/>
        </w:rPr>
        <w:t>Русскиной И.В. – главного специалиста - эксперта отдела контроля в сфере закупок и антимонопольного контроля органов власти Управления Федеральной антимонопольной службы по Астраханской области (далее - Астраханское УФАС России, Управление);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5"/>
          <w:b/>
          <w:bCs/>
        </w:rPr>
        <w:t>членов комиссии: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5"/>
        </w:rPr>
        <w:t>Крупиной Е.М. – главного специалиста - эксперта отдела контроля в сфере закупок и антимонопольного контроля органов власти Управления,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5"/>
        </w:rPr>
        <w:t>Миляевой В.С. – ведущего специалиста-эксперта отдела контроля в сфере закупок и антимонопольного контроля органов власти Управления,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40"/>
        <w:jc w:val="both"/>
      </w:pPr>
      <w:r>
        <w:rPr>
          <w:rStyle w:val="CharStyle15"/>
        </w:rPr>
        <w:t>в присутствии представителя заявителя – индивидуального предпринимателя</w:t>
      </w:r>
    </w:p>
    <w:p>
      <w:pPr>
        <w:pStyle w:val="Style19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2" w:name="bookmark2"/>
      <w:r>
        <w:rPr>
          <w:rStyle w:val="CharStyle20"/>
        </w:rPr>
        <w:t>IIIIIIIIIIIIIIIIIIIIIIII</w:t>
      </w:r>
      <w:bookmarkEnd w:id="2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</w:rPr>
        <w:t xml:space="preserve">Карпач Елизаветы Игоревны Зырянова М.А. (доверенность), в присутствии представителей государственного заказчика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Государственного бюджетного учреждения здравоохранения Астраханской области «Областной клинический онкологический диспансер» Котловой А.К. (доверенность) и Ерахтиной М.Н. (доверенность), в присутствии представителей уполномоченного органа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 xml:space="preserve">Государственного казенного учреждения Астраханской области «Региональный центр организации закупок» Миробдаловой Н.Р. (доверенность) и Даниловой Ю.Р. (доверенность), рассмотрев жалобу индивидуального предпринимателя Карпач Елизаветы Игоревны на действия комиссии по осуществлению закупок государственного заказчика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Государственного бюджетного учреждения здравоохранения Астраханской области «Областной клинический онкологический диспансер» и уполномоченного органа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 xml:space="preserve">Государственного казенного учреждения Астраханской области «Региональный центр организации закупок» при проведении электронного аукциона на право заключить контракт на поставку медицинских изделий: Набор ангиографический (реестровый номер извещения </w:t>
      </w:r>
      <w:r>
        <w:rPr>
          <w:rStyle w:val="CharStyle15"/>
          <w:lang w:val="en-US" w:eastAsia="en-US"/>
        </w:rPr>
        <w:t xml:space="preserve">0825500000726001087), </w:t>
      </w:r>
      <w:r>
        <w:rPr>
          <w:rStyle w:val="CharStyle15"/>
        </w:rPr>
        <w:t xml:space="preserve">на основании ст. </w:t>
      </w:r>
      <w:r>
        <w:rPr>
          <w:rStyle w:val="CharStyle15"/>
          <w:lang w:val="en-US" w:eastAsia="en-US"/>
        </w:rPr>
        <w:t xml:space="preserve">99, 105, 106 </w:t>
      </w:r>
      <w:r>
        <w:rPr>
          <w:rStyle w:val="CharStyle15"/>
        </w:rPr>
        <w:t xml:space="preserve">Федерального закона от </w:t>
      </w:r>
      <w:r>
        <w:rPr>
          <w:rStyle w:val="CharStyle15"/>
          <w:lang w:val="en-US" w:eastAsia="en-US"/>
        </w:rPr>
        <w:t xml:space="preserve">05.04.2013 </w:t>
      </w:r>
      <w:r>
        <w:rPr>
          <w:rStyle w:val="CharStyle15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5"/>
          <w:lang w:val="en-US" w:eastAsia="en-US"/>
        </w:rPr>
        <w:t xml:space="preserve">— </w:t>
      </w:r>
      <w:r>
        <w:rPr>
          <w:rStyle w:val="CharStyle15"/>
        </w:rPr>
        <w:t>Закон о контрактной системе),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5"/>
          <w:b/>
          <w:bCs/>
        </w:rPr>
        <w:t>УСТАНОВИЛА: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5"/>
        </w:rPr>
        <w:t xml:space="preserve">В Астраханское УФАС России </w:t>
      </w:r>
      <w:r>
        <w:rPr>
          <w:rStyle w:val="CharStyle15"/>
          <w:lang w:val="en-US" w:eastAsia="en-US"/>
        </w:rPr>
        <w:t xml:space="preserve">12.05.2026 </w:t>
      </w:r>
      <w:r>
        <w:rPr>
          <w:rStyle w:val="CharStyle15"/>
        </w:rPr>
        <w:t xml:space="preserve">года поступила жалоба индивидуального предпринимателя Карпач Елизаветы Игоревны (далее также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 xml:space="preserve">ИП Карпач Е.И., Заявитель) на действия комиссии по осуществлению закупок государственного заказчика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Государственного бюджетного учреждения здравоохранения Астраханской области «Областной клинический онкологический диспансер» (далее также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 xml:space="preserve">ГБУЗ АО «ОКОД», Заказчик) и уполномоченного органа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 xml:space="preserve">Государственного казенного учреждения Астраханской области «Региональный центр организации закупок» (ГКУ АО «РЦОЗ», Уполномоченный орган) при проведении электронного аукциона на право заключить контракт на поставку медицинских изделий: Набор ангиографический (реестровый номер извещения </w:t>
      </w:r>
      <w:r>
        <w:rPr>
          <w:rStyle w:val="CharStyle15"/>
          <w:lang w:val="en-US" w:eastAsia="en-US"/>
        </w:rPr>
        <w:t xml:space="preserve">0825500000726001087) </w:t>
      </w:r>
      <w:r>
        <w:rPr>
          <w:rStyle w:val="CharStyle15"/>
        </w:rPr>
        <w:t xml:space="preserve">(далее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>аукцион).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5"/>
        </w:rPr>
        <w:t>По мнению Заявителя, комиссией по осуществлению закупок Заказчика и Уполномоченного органа допущено нарушение требований Закона о контрактной системе.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5"/>
        </w:rPr>
        <w:t>На основании вышеизложенного Заявитель просит рассмотреть жалобу по существу и принять меры в соответствии с действующим законодательством Российской Федерации.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5"/>
        </w:rPr>
        <w:t xml:space="preserve">Рассмотрение жалобы назначено Управлением на </w:t>
      </w:r>
      <w:r>
        <w:rPr>
          <w:rStyle w:val="CharStyle15"/>
          <w:lang w:val="en-US" w:eastAsia="en-US"/>
        </w:rPr>
        <w:t xml:space="preserve">15.05.2026 </w:t>
      </w:r>
      <w:r>
        <w:rPr>
          <w:rStyle w:val="CharStyle15"/>
        </w:rPr>
        <w:t xml:space="preserve">года в </w:t>
      </w:r>
      <w:r>
        <w:rPr>
          <w:rStyle w:val="CharStyle15"/>
          <w:lang w:val="en-US" w:eastAsia="en-US"/>
        </w:rPr>
        <w:t xml:space="preserve">10 </w:t>
      </w:r>
      <w:r>
        <w:rPr>
          <w:rStyle w:val="CharStyle15"/>
        </w:rPr>
        <w:t xml:space="preserve">часов </w:t>
      </w:r>
      <w:r>
        <w:rPr>
          <w:rStyle w:val="CharStyle15"/>
          <w:lang w:val="en-US" w:eastAsia="en-US"/>
        </w:rPr>
        <w:t xml:space="preserve">30 </w:t>
      </w:r>
      <w:r>
        <w:rPr>
          <w:rStyle w:val="CharStyle15"/>
        </w:rPr>
        <w:t xml:space="preserve">минут по местному времени контролирующего органа по адресу: </w:t>
      </w:r>
      <w:r>
        <w:rPr>
          <w:rStyle w:val="CharStyle15"/>
          <w:lang w:val="en-US" w:eastAsia="en-US"/>
        </w:rPr>
        <w:t xml:space="preserve">414000, </w:t>
      </w:r>
      <w:r>
        <w:rPr>
          <w:rStyle w:val="CharStyle15"/>
        </w:rPr>
        <w:t xml:space="preserve">г. Астрахань, ул. Шаумяна, </w:t>
      </w:r>
      <w:r>
        <w:rPr>
          <w:rStyle w:val="CharStyle15"/>
          <w:lang w:val="en-US" w:eastAsia="en-US"/>
        </w:rPr>
        <w:t xml:space="preserve">47, </w:t>
      </w:r>
      <w:r>
        <w:rPr>
          <w:rStyle w:val="CharStyle15"/>
        </w:rPr>
        <w:t xml:space="preserve">каб. </w:t>
      </w:r>
      <w:r>
        <w:rPr>
          <w:rStyle w:val="CharStyle15"/>
          <w:lang w:val="en-US" w:eastAsia="en-US"/>
        </w:rPr>
        <w:t>505.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5"/>
        </w:rPr>
        <w:t xml:space="preserve">Представители Заявителя и Заказчика приняли участие в рассмотрении жалобы посредством интернет-видеоконференции с использованием системы ВКС </w:t>
      </w:r>
      <w:r>
        <w:rPr>
          <w:rStyle w:val="CharStyle15"/>
          <w:lang w:val="en-US" w:eastAsia="en-US"/>
        </w:rPr>
        <w:t>(TrueConf).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5"/>
        </w:rPr>
        <w:t>Представители Уполномоченного органа приняли личное участие в рассмотрении жалобы.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40"/>
        <w:jc w:val="both"/>
      </w:pPr>
      <w:r>
        <w:rPr>
          <w:rStyle w:val="CharStyle15"/>
        </w:rPr>
        <w:t>По результатам рассмотрения жалобы и проведения внеплановой проверки установлено следующее.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5"/>
          <w:lang w:val="en-US" w:eastAsia="en-US"/>
        </w:rPr>
        <w:t xml:space="preserve">23.04.2026 </w:t>
      </w:r>
      <w:r>
        <w:rPr>
          <w:rStyle w:val="CharStyle15"/>
        </w:rPr>
        <w:t xml:space="preserve">года на официальном сайте единой информационной системы в сфере закупок </w:t>
      </w:r>
      <w:r>
        <w:fldChar w:fldCharType="begin"/>
      </w:r>
      <w:r>
        <w:rPr/>
        <w:instrText> HYPERLINK "http://www.zakupki.gov.ru" </w:instrText>
      </w:r>
      <w:r>
        <w:fldChar w:fldCharType="separate"/>
      </w:r>
      <w:r>
        <w:rPr>
          <w:rStyle w:val="CharStyle15"/>
          <w:lang w:val="en-US" w:eastAsia="en-US"/>
        </w:rPr>
        <w:t>www.zakupki.gov.ru</w:t>
      </w:r>
      <w:r>
        <w:fldChar w:fldCharType="end"/>
      </w:r>
      <w:r>
        <w:rPr>
          <w:rStyle w:val="CharStyle15"/>
          <w:lang w:val="en-US" w:eastAsia="en-US"/>
        </w:rPr>
        <w:t xml:space="preserve"> </w:t>
      </w:r>
      <w:r>
        <w:rPr>
          <w:rStyle w:val="CharStyle15"/>
        </w:rPr>
        <w:t xml:space="preserve">(далее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 xml:space="preserve">официальный сайт, ЕИС) размещено извещение о проведении электронного аукциона на право заключить контракт на поставку медицинских изделий: Набор ангиографический (реестровый номер извещения </w:t>
      </w:r>
      <w:r>
        <w:rPr>
          <w:rStyle w:val="CharStyle15"/>
          <w:lang w:val="en-US" w:eastAsia="en-US"/>
        </w:rPr>
        <w:t xml:space="preserve">0825500000726001087) </w:t>
      </w:r>
      <w:r>
        <w:rPr>
          <w:rStyle w:val="CharStyle15"/>
        </w:rPr>
        <w:t xml:space="preserve">(далее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>извещение).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560"/>
        <w:jc w:val="both"/>
      </w:pPr>
      <w:r>
        <w:rPr>
          <w:rStyle w:val="CharStyle15"/>
        </w:rPr>
        <w:t xml:space="preserve">Начальная (максимальная) цена контракта составила </w:t>
      </w:r>
      <w:r>
        <w:rPr>
          <w:rStyle w:val="CharStyle15"/>
          <w:lang w:val="en-US" w:eastAsia="en-US"/>
        </w:rPr>
        <w:t xml:space="preserve">4 949 165,00 </w:t>
      </w:r>
      <w:r>
        <w:rPr>
          <w:rStyle w:val="CharStyle15"/>
        </w:rPr>
        <w:t>рублей.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5"/>
        </w:rPr>
        <w:t>Согласно жалобе Заявителя, комиссия по осуществлению закупок Заказчика и Уполномоченного органа незаконно отклонила его заявку на участие в аукционе за предоставление в ее составе недостоверной информации.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5"/>
        </w:rPr>
        <w:t>Жалоба является необоснованной по следующим основаниям.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5"/>
        </w:rPr>
        <w:t xml:space="preserve">Согласно 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42 </w:t>
      </w:r>
      <w:r>
        <w:rPr>
          <w:rStyle w:val="CharStyle15"/>
        </w:rPr>
        <w:t>Закона о контрактной системе,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5"/>
        </w:rPr>
        <w:t xml:space="preserve">Пунктами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и </w:t>
      </w:r>
      <w:r>
        <w:rPr>
          <w:rStyle w:val="CharStyle15"/>
          <w:lang w:val="en-US" w:eastAsia="en-US"/>
        </w:rPr>
        <w:t xml:space="preserve">3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42 </w:t>
      </w:r>
      <w:r>
        <w:rPr>
          <w:rStyle w:val="CharStyle15"/>
        </w:rPr>
        <w:t xml:space="preserve">Закона о контрактной системе регламентировано, что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</w:t>
      </w:r>
      <w:r>
        <w:rPr>
          <w:rStyle w:val="CharStyle15"/>
          <w:lang w:val="en-US" w:eastAsia="en-US"/>
        </w:rPr>
        <w:t xml:space="preserve">33 </w:t>
      </w:r>
      <w:r>
        <w:rPr>
          <w:rStyle w:val="CharStyle15"/>
        </w:rPr>
        <w:t>настоящего Федерального закона и требования к содержанию, составу заявки на участие в закупке в соответствии с настоящим Федеральным законом и инструкцию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5"/>
        </w:rPr>
        <w:t xml:space="preserve">В силу подпункта «а» пункта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43 </w:t>
      </w:r>
      <w:r>
        <w:rPr>
          <w:rStyle w:val="CharStyle15"/>
        </w:rPr>
        <w:t xml:space="preserve">Закона о контрактной системе для участия в конкурентном способе заявка на участие в закупке, если иное не предусмотрено настоящим Федеральным законом, должна содержать предложение участника закупки в отношении объекта закупки с учетом положений части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настоящей статьи характеристики предлагаемого участником закупки товара соответствующие показателям, установленным в описании объекта закупки в соответствии с частью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33 </w:t>
      </w:r>
      <w:r>
        <w:rPr>
          <w:rStyle w:val="CharStyle15"/>
        </w:rPr>
        <w:t>настоящего Федерального закона, товарный знак (при наличии у товара товарного знака).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560"/>
        <w:jc w:val="both"/>
      </w:pPr>
      <w:r>
        <w:rPr>
          <w:rStyle w:val="CharStyle15"/>
        </w:rPr>
        <w:t xml:space="preserve">В соответствии требованиям пункта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43 </w:t>
      </w:r>
      <w:r>
        <w:rPr>
          <w:rStyle w:val="CharStyle15"/>
        </w:rPr>
        <w:t xml:space="preserve">Закона о контрактной системе при формировании предложения участника закупки в отношении объекта закупки информация о товаре, предусмотренная подпунктами «а» и «б» пункта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>настоящей статьи, включается в заявку на участие в закупке в случае осуществления закупки товара, в том числе поставляемого заказчику при выполнении закупаемых работ, оказании закупаемых услуг. Информация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</w:rPr>
        <w:t xml:space="preserve">предусмотренная подпунктом «а» пункта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>настоящей статьи, может не включаться в заявку на участие в закупке в случае указания заказчиком в описании объекта закупки товарного знака и предложения участником закупки товара, в том числе поставляемого заказчику при выполнении закупаемых работ, оказании закупаемых услуг, обозначенного таким товарным знаком.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5"/>
        </w:rPr>
        <w:t>Аналогичные требования установлены Заказчиком в файле «Требования к содержанию и составу заявки на участие в аукционе» извещения.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5"/>
        </w:rPr>
        <w:t xml:space="preserve">Согласно протоколу подведения итогов определения поставщика (подрядчика исполнителя) от </w:t>
      </w:r>
      <w:r>
        <w:rPr>
          <w:rStyle w:val="CharStyle15"/>
          <w:lang w:val="en-US" w:eastAsia="en-US"/>
        </w:rPr>
        <w:t xml:space="preserve">06.05.2026 </w:t>
      </w:r>
      <w:r>
        <w:rPr>
          <w:rStyle w:val="CharStyle15"/>
        </w:rPr>
        <w:t xml:space="preserve">№ИЭА1, для участия в аукционе было подано </w:t>
      </w:r>
      <w:r>
        <w:rPr>
          <w:rStyle w:val="CharStyle15"/>
          <w:lang w:val="en-US" w:eastAsia="en-US"/>
        </w:rPr>
        <w:t xml:space="preserve">4 </w:t>
      </w:r>
      <w:r>
        <w:rPr>
          <w:rStyle w:val="CharStyle15"/>
        </w:rPr>
        <w:t>заявки.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5"/>
        </w:rPr>
        <w:t xml:space="preserve">Из них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заявки под идентификационными номерами </w:t>
      </w:r>
      <w:r>
        <w:rPr>
          <w:rStyle w:val="CharStyle15"/>
          <w:lang w:val="en-US" w:eastAsia="en-US"/>
        </w:rPr>
        <w:t xml:space="preserve">199 </w:t>
      </w:r>
      <w:r>
        <w:rPr>
          <w:rStyle w:val="CharStyle15"/>
        </w:rPr>
        <w:t xml:space="preserve">и </w:t>
      </w:r>
      <w:r>
        <w:rPr>
          <w:rStyle w:val="CharStyle15"/>
          <w:lang w:val="en-US" w:eastAsia="en-US"/>
        </w:rPr>
        <w:t xml:space="preserve">238 </w:t>
      </w:r>
      <w:r>
        <w:rPr>
          <w:rStyle w:val="CharStyle15"/>
        </w:rPr>
        <w:t xml:space="preserve">признаны комиссией по осуществлению закупок Заказчика и Уполномоченного органа соответствующими требованиям извещения, а заявки под идентификационными номерами </w:t>
      </w:r>
      <w:r>
        <w:rPr>
          <w:rStyle w:val="CharStyle15"/>
          <w:lang w:val="en-US" w:eastAsia="en-US"/>
        </w:rPr>
        <w:t xml:space="preserve">38 </w:t>
      </w:r>
      <w:r>
        <w:rPr>
          <w:rStyle w:val="CharStyle15"/>
        </w:rPr>
        <w:t xml:space="preserve">(Заявитель) и </w:t>
      </w:r>
      <w:r>
        <w:rPr>
          <w:rStyle w:val="CharStyle15"/>
          <w:lang w:val="en-US" w:eastAsia="en-US"/>
        </w:rPr>
        <w:t xml:space="preserve">161 </w:t>
      </w:r>
      <w:r>
        <w:rPr>
          <w:rStyle w:val="CharStyle15"/>
        </w:rPr>
        <w:t xml:space="preserve">отклонены от участия в закупке на основании пункта </w:t>
      </w:r>
      <w:r>
        <w:rPr>
          <w:rStyle w:val="CharStyle15"/>
          <w:lang w:val="en-US" w:eastAsia="en-US"/>
        </w:rPr>
        <w:t xml:space="preserve">8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48 </w:t>
      </w:r>
      <w:r>
        <w:rPr>
          <w:rStyle w:val="CharStyle15"/>
        </w:rPr>
        <w:t>Закона о контрактной системе.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5"/>
        </w:rPr>
        <w:t xml:space="preserve">Так, в протоколе подведения итогов определения поставщика (подрядчика исполнителя) от </w:t>
      </w:r>
      <w:r>
        <w:rPr>
          <w:rStyle w:val="CharStyle15"/>
          <w:lang w:val="en-US" w:eastAsia="en-US"/>
        </w:rPr>
        <w:t xml:space="preserve">06.05.2026 </w:t>
      </w:r>
      <w:r>
        <w:rPr>
          <w:rStyle w:val="CharStyle15"/>
        </w:rPr>
        <w:t>№ИЭА1 в отношении заявки Заявителя указано следующее: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5"/>
          <w:i/>
          <w:iCs/>
        </w:rPr>
        <w:t xml:space="preserve">«Требование Заказчика: Товар </w:t>
      </w:r>
      <w:r>
        <w:rPr>
          <w:rStyle w:val="CharStyle15"/>
          <w:i/>
          <w:iCs/>
          <w:lang w:val="en-US" w:eastAsia="en-US"/>
        </w:rPr>
        <w:t xml:space="preserve">№ 1: </w:t>
      </w:r>
      <w:r>
        <w:rPr>
          <w:rStyle w:val="CharStyle15"/>
          <w:i/>
          <w:iCs/>
        </w:rPr>
        <w:t xml:space="preserve">Код позиции: </w:t>
      </w:r>
      <w:r>
        <w:rPr>
          <w:rStyle w:val="CharStyle15"/>
          <w:i/>
          <w:iCs/>
          <w:lang w:val="en-US" w:eastAsia="en-US"/>
        </w:rPr>
        <w:t>32.50.50.190/32.50.50.190</w:t>
        <w:softHyphen/>
        <w:t xml:space="preserve">00001378. </w:t>
      </w:r>
      <w:r>
        <w:rPr>
          <w:rStyle w:val="CharStyle15"/>
          <w:i/>
          <w:iCs/>
        </w:rPr>
        <w:t xml:space="preserve">Наименование ТРУ: Набор ангиографический: Длина трубки соединительной системы инъекционной </w:t>
      </w:r>
      <w:r>
        <w:rPr>
          <w:rStyle w:val="CharStyle15"/>
          <w:i/>
          <w:iCs/>
          <w:lang w:val="en-US" w:eastAsia="en-US"/>
        </w:rPr>
        <w:t xml:space="preserve">≥225 </w:t>
      </w:r>
      <w:r>
        <w:rPr>
          <w:rStyle w:val="CharStyle15"/>
          <w:i/>
          <w:iCs/>
        </w:rPr>
        <w:t xml:space="preserve">и </w:t>
      </w:r>
      <w:r>
        <w:rPr>
          <w:rStyle w:val="CharStyle15"/>
          <w:i/>
          <w:iCs/>
          <w:lang w:val="en-US" w:eastAsia="en-US"/>
        </w:rPr>
        <w:t xml:space="preserve">≤245 </w:t>
      </w:r>
      <w:r>
        <w:rPr>
          <w:rStyle w:val="CharStyle15"/>
          <w:i/>
          <w:iCs/>
        </w:rPr>
        <w:t xml:space="preserve">см. Характеристики предлагаемого участником закупки товара: Длина трубки соединительной системы инъекционной </w:t>
      </w:r>
      <w:r>
        <w:rPr>
          <w:rStyle w:val="CharStyle15"/>
          <w:i/>
          <w:iCs/>
          <w:lang w:val="en-US" w:eastAsia="en-US"/>
        </w:rPr>
        <w:t xml:space="preserve">245 </w:t>
      </w:r>
      <w:r>
        <w:rPr>
          <w:rStyle w:val="CharStyle15"/>
          <w:i/>
          <w:iCs/>
        </w:rPr>
        <w:t xml:space="preserve">см. Участником закупки к поставке предложены Наборы высокого давления стерильные для введения рентгеноконтрастных веществ при проведении ангиографических исследований, компьютерной, магниторезонансной томографии, вариант исполнения: Набор </w:t>
      </w:r>
      <w:r>
        <w:rPr>
          <w:rStyle w:val="CharStyle15"/>
          <w:i/>
          <w:iCs/>
          <w:lang w:val="en-US" w:eastAsia="en-US"/>
        </w:rPr>
        <w:t xml:space="preserve">№12, </w:t>
      </w:r>
      <w:r>
        <w:rPr>
          <w:rStyle w:val="CharStyle15"/>
          <w:i/>
          <w:iCs/>
        </w:rPr>
        <w:t xml:space="preserve">регистрационное удостоверение от </w:t>
      </w:r>
      <w:r>
        <w:rPr>
          <w:rStyle w:val="CharStyle15"/>
          <w:i/>
          <w:iCs/>
          <w:lang w:val="en-US" w:eastAsia="en-US"/>
        </w:rPr>
        <w:t xml:space="preserve">25.07.2022 № </w:t>
      </w:r>
      <w:r>
        <w:rPr>
          <w:rStyle w:val="CharStyle15"/>
          <w:i/>
          <w:iCs/>
        </w:rPr>
        <w:t xml:space="preserve">РЗН </w:t>
      </w:r>
      <w:r>
        <w:rPr>
          <w:rStyle w:val="CharStyle15"/>
          <w:i/>
          <w:iCs/>
          <w:lang w:val="en-US" w:eastAsia="en-US"/>
        </w:rPr>
        <w:t xml:space="preserve">2021/13604. </w:t>
      </w:r>
      <w:r>
        <w:rPr>
          <w:rStyle w:val="CharStyle15"/>
          <w:i/>
          <w:iCs/>
        </w:rPr>
        <w:t xml:space="preserve">Согласно инструкции по применению, размещенной на официальном сайте Федеральной службы по надзору в сфере здравоохранения (РОСЗДРАВНАДЗОР), длина трубки соединительной системы инъекционной </w:t>
      </w:r>
      <w:r>
        <w:rPr>
          <w:rStyle w:val="CharStyle15"/>
          <w:i/>
          <w:iCs/>
          <w:lang w:val="en-US" w:eastAsia="en-US"/>
        </w:rPr>
        <w:t xml:space="preserve">245 </w:t>
      </w:r>
      <w:r>
        <w:rPr>
          <w:rStyle w:val="CharStyle15"/>
          <w:i/>
          <w:iCs/>
        </w:rPr>
        <w:t>см отсутствует в каждом варианте набора».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5"/>
        </w:rPr>
        <w:t>В то же время, Комиссией Управления установлено следующее.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5"/>
        </w:rPr>
        <w:t xml:space="preserve">Согласно пункту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33 </w:t>
      </w:r>
      <w:r>
        <w:rPr>
          <w:rStyle w:val="CharStyle15"/>
        </w:rPr>
        <w:t>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5"/>
        </w:rPr>
        <w:t xml:space="preserve">Из части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33 </w:t>
      </w:r>
      <w:r>
        <w:rPr>
          <w:rStyle w:val="CharStyle15"/>
        </w:rPr>
        <w:t xml:space="preserve">Закона о контрактной системе следует, что описание объекта закупки в соответствии с требованиями, указанными в 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>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5"/>
        </w:rPr>
        <w:t xml:space="preserve">Объектом закупки является поставка наборов ангиографических, в том числе с характеристикой «Длина трубки соединительной системы инъекционной </w:t>
      </w:r>
      <w:r>
        <w:rPr>
          <w:rStyle w:val="CharStyle15"/>
          <w:lang w:val="en-US" w:eastAsia="en-US"/>
        </w:rPr>
        <w:t xml:space="preserve">- ≥ 225 </w:t>
      </w:r>
      <w:r>
        <w:rPr>
          <w:rStyle w:val="CharStyle15"/>
        </w:rPr>
        <w:t xml:space="preserve">и </w:t>
      </w:r>
      <w:r>
        <w:rPr>
          <w:rStyle w:val="CharStyle15"/>
          <w:lang w:val="en-US" w:eastAsia="en-US"/>
        </w:rPr>
        <w:t xml:space="preserve">≤ 245 </w:t>
      </w:r>
      <w:r>
        <w:rPr>
          <w:rStyle w:val="CharStyle15"/>
        </w:rPr>
        <w:t>см».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5"/>
        </w:rPr>
        <w:t>Комиссией Управления установлено, что Заявителем предложен к поставке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</w:rPr>
        <w:t xml:space="preserve">товар «Наборы высокого давления стерильные для введения рентгеноконтрастных веществ при проведении ангиографических исследований, компьютерной магниторезонансной томографии» в варианте исполнения «Набор </w:t>
      </w:r>
      <w:r>
        <w:rPr>
          <w:rStyle w:val="CharStyle15"/>
          <w:lang w:val="en-US" w:eastAsia="en-US"/>
        </w:rPr>
        <w:t xml:space="preserve">№12» </w:t>
      </w:r>
      <w:r>
        <w:rPr>
          <w:rStyle w:val="CharStyle15"/>
        </w:rPr>
        <w:t xml:space="preserve">производства «Шэньжень Антмед Ко., Лтд.», Китай (регистрационное удостоверение №РЗН </w:t>
      </w:r>
      <w:r>
        <w:rPr>
          <w:rStyle w:val="CharStyle15"/>
          <w:lang w:val="en-US" w:eastAsia="en-US"/>
        </w:rPr>
        <w:t xml:space="preserve">2021/13604 </w:t>
      </w:r>
      <w:r>
        <w:rPr>
          <w:rStyle w:val="CharStyle15"/>
        </w:rPr>
        <w:t xml:space="preserve">от </w:t>
      </w:r>
      <w:r>
        <w:rPr>
          <w:rStyle w:val="CharStyle15"/>
          <w:lang w:val="en-US" w:eastAsia="en-US"/>
        </w:rPr>
        <w:t xml:space="preserve">02.03.2021 </w:t>
      </w:r>
      <w:r>
        <w:rPr>
          <w:rStyle w:val="CharStyle15"/>
        </w:rPr>
        <w:t>года).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 xml:space="preserve">В соответствии со структурированной заявкой Заявителя длина трубки соединительной системы инъекционной такого медицинского изделия равна </w:t>
      </w:r>
      <w:r>
        <w:rPr>
          <w:rStyle w:val="CharStyle15"/>
          <w:lang w:val="en-US" w:eastAsia="en-US"/>
        </w:rPr>
        <w:t xml:space="preserve">245 </w:t>
      </w:r>
      <w:r>
        <w:rPr>
          <w:rStyle w:val="CharStyle15"/>
        </w:rPr>
        <w:t>см.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 xml:space="preserve">Согласно письму ФАС России от </w:t>
      </w:r>
      <w:r>
        <w:rPr>
          <w:rStyle w:val="CharStyle15"/>
          <w:lang w:val="en-US" w:eastAsia="en-US"/>
        </w:rPr>
        <w:t xml:space="preserve">26.05.2025 </w:t>
      </w:r>
      <w:r>
        <w:rPr>
          <w:rStyle w:val="CharStyle15"/>
        </w:rPr>
        <w:t xml:space="preserve">года №ГР/48883/25 «О рассмотрении обращения», актуальные сведения в отношении медицинских изделий, разрешенных к обращению на территории Российской Федерации отражены в инструкциях по применению медицинских изделий, содержащихся в реестре медицинских изделий и организаций (индивидуальных предпринимателей) осуществляющих производство и изготовление медицинских изделий Росздравнадзора (далее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>реестр).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>Таким образом, при необходимости сведения, представленные в заявках участников, следует сверять с приведенными в реестре сведениями.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 xml:space="preserve">Исходя из информации (инструкция по эксплуатации на медицинское изделие) размещенной на официальном сайте Федеральной службы по надзору в сфере здравоохранения, длина соединительной магистрали «Набора </w:t>
      </w:r>
      <w:r>
        <w:rPr>
          <w:rStyle w:val="CharStyle15"/>
          <w:lang w:val="en-US" w:eastAsia="en-US"/>
        </w:rPr>
        <w:t xml:space="preserve">№12» </w:t>
      </w:r>
      <w:r>
        <w:rPr>
          <w:rStyle w:val="CharStyle15"/>
        </w:rPr>
        <w:t xml:space="preserve">составляет </w:t>
      </w:r>
      <w:r>
        <w:rPr>
          <w:rStyle w:val="CharStyle15"/>
          <w:lang w:val="en-US" w:eastAsia="en-US"/>
        </w:rPr>
        <w:t xml:space="preserve">250 </w:t>
      </w:r>
      <w:r>
        <w:rPr>
          <w:rStyle w:val="CharStyle15"/>
        </w:rPr>
        <w:t>см.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 xml:space="preserve">В то же время, в подтверждение соответствия предложенного им товара требованиям извещения Заявитель представил в составе своей заявки письмо официального представителя производителя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 xml:space="preserve">ООО «СибМК» </w:t>
      </w:r>
      <w:r>
        <w:rPr>
          <w:rStyle w:val="CharStyle15"/>
          <w:lang w:val="en-US" w:eastAsia="en-US"/>
        </w:rPr>
        <w:t xml:space="preserve">№0304/14 </w:t>
      </w:r>
      <w:r>
        <w:rPr>
          <w:rStyle w:val="CharStyle15"/>
        </w:rPr>
        <w:t xml:space="preserve">от </w:t>
      </w:r>
      <w:r>
        <w:rPr>
          <w:rStyle w:val="CharStyle15"/>
          <w:lang w:val="en-US" w:eastAsia="en-US"/>
        </w:rPr>
        <w:t xml:space="preserve">03.04.2026 </w:t>
      </w:r>
      <w:r>
        <w:rPr>
          <w:rStyle w:val="CharStyle15"/>
        </w:rPr>
        <w:t>года, в котором указано следующее: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  <w:i/>
          <w:iCs/>
        </w:rPr>
        <w:t xml:space="preserve">«В составе «Набора </w:t>
      </w:r>
      <w:r>
        <w:rPr>
          <w:rStyle w:val="CharStyle15"/>
          <w:i/>
          <w:iCs/>
          <w:lang w:val="en-US" w:eastAsia="en-US"/>
        </w:rPr>
        <w:t xml:space="preserve">№12» </w:t>
      </w:r>
      <w:r>
        <w:rPr>
          <w:rStyle w:val="CharStyle15"/>
          <w:i/>
          <w:iCs/>
        </w:rPr>
        <w:t xml:space="preserve">содержится Т-образная соединительная магистраль длиной </w:t>
      </w:r>
      <w:r>
        <w:rPr>
          <w:rStyle w:val="CharStyle15"/>
          <w:i/>
          <w:iCs/>
          <w:lang w:val="en-US" w:eastAsia="en-US"/>
        </w:rPr>
        <w:t xml:space="preserve">250 </w:t>
      </w:r>
      <w:r>
        <w:rPr>
          <w:rStyle w:val="CharStyle15"/>
          <w:i/>
          <w:iCs/>
        </w:rPr>
        <w:t xml:space="preserve">см. При этом магистраль состоит из нескольких сегментов: наконечник Луер-лок </w:t>
      </w:r>
      <w:r>
        <w:rPr>
          <w:rStyle w:val="CharStyle15"/>
          <w:i/>
          <w:iCs/>
          <w:lang w:val="en-US" w:eastAsia="en-US"/>
        </w:rPr>
        <w:t xml:space="preserve">Male </w:t>
      </w:r>
      <w:r>
        <w:rPr>
          <w:rStyle w:val="CharStyle15"/>
          <w:i/>
          <w:iCs/>
        </w:rPr>
        <w:t xml:space="preserve">(для присоединения к катетеру пациента) длиной </w:t>
      </w:r>
      <w:r>
        <w:rPr>
          <w:rStyle w:val="CharStyle15"/>
          <w:i/>
          <w:iCs/>
          <w:lang w:val="en-US" w:eastAsia="en-US"/>
        </w:rPr>
        <w:t xml:space="preserve">2 </w:t>
      </w:r>
      <w:r>
        <w:rPr>
          <w:rStyle w:val="CharStyle15"/>
          <w:i/>
          <w:iCs/>
        </w:rPr>
        <w:t xml:space="preserve">см, спиральной части длиной </w:t>
      </w:r>
      <w:r>
        <w:rPr>
          <w:rStyle w:val="CharStyle15"/>
          <w:i/>
          <w:iCs/>
          <w:lang w:val="en-US" w:eastAsia="en-US"/>
        </w:rPr>
        <w:t xml:space="preserve">245 </w:t>
      </w:r>
      <w:r>
        <w:rPr>
          <w:rStyle w:val="CharStyle15"/>
          <w:i/>
          <w:iCs/>
        </w:rPr>
        <w:t xml:space="preserve">см, Т-образного коннектора с наконечником Луер-лок </w:t>
      </w:r>
      <w:r>
        <w:rPr>
          <w:rStyle w:val="CharStyle15"/>
          <w:i/>
          <w:iCs/>
          <w:lang w:val="en-US" w:eastAsia="en-US"/>
        </w:rPr>
        <w:t xml:space="preserve">Female </w:t>
      </w:r>
      <w:r>
        <w:rPr>
          <w:rStyle w:val="CharStyle15"/>
          <w:i/>
          <w:iCs/>
        </w:rPr>
        <w:t xml:space="preserve">(для присоединения к шприц-колбе) длиной </w:t>
      </w:r>
      <w:r>
        <w:rPr>
          <w:rStyle w:val="CharStyle15"/>
          <w:i/>
          <w:iCs/>
          <w:lang w:val="en-US" w:eastAsia="en-US"/>
        </w:rPr>
        <w:t xml:space="preserve">3 </w:t>
      </w:r>
      <w:r>
        <w:rPr>
          <w:rStyle w:val="CharStyle15"/>
          <w:i/>
          <w:iCs/>
        </w:rPr>
        <w:t xml:space="preserve">см, прямой части длиной </w:t>
      </w:r>
      <w:r>
        <w:rPr>
          <w:rStyle w:val="CharStyle15"/>
          <w:i/>
          <w:iCs/>
          <w:lang w:val="en-US" w:eastAsia="en-US"/>
        </w:rPr>
        <w:t xml:space="preserve">15 </w:t>
      </w:r>
      <w:r>
        <w:rPr>
          <w:rStyle w:val="CharStyle15"/>
          <w:i/>
          <w:iCs/>
        </w:rPr>
        <w:t xml:space="preserve">см, наконечника Луер-лок </w:t>
      </w:r>
      <w:r>
        <w:rPr>
          <w:rStyle w:val="CharStyle15"/>
          <w:i/>
          <w:iCs/>
          <w:lang w:val="en-US" w:eastAsia="en-US"/>
        </w:rPr>
        <w:t xml:space="preserve">Female </w:t>
      </w:r>
      <w:r>
        <w:rPr>
          <w:rStyle w:val="CharStyle15"/>
          <w:i/>
          <w:iCs/>
        </w:rPr>
        <w:t xml:space="preserve">на прямой части (для присоединения второй шприц-колбы) длиной </w:t>
      </w:r>
      <w:r>
        <w:rPr>
          <w:rStyle w:val="CharStyle15"/>
          <w:i/>
          <w:iCs/>
          <w:lang w:val="en-US" w:eastAsia="en-US"/>
        </w:rPr>
        <w:t xml:space="preserve">2 </w:t>
      </w:r>
      <w:r>
        <w:rPr>
          <w:rStyle w:val="CharStyle15"/>
          <w:i/>
          <w:iCs/>
        </w:rPr>
        <w:t>см»</w:t>
      </w:r>
      <w:r>
        <w:rPr>
          <w:rStyle w:val="CharStyle15"/>
        </w:rPr>
        <w:t>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 xml:space="preserve">Комиссия отмечает, что письмо ООО «СибМК» дублирует информацию о длине соединительной магистрали «Набора </w:t>
      </w:r>
      <w:r>
        <w:rPr>
          <w:rStyle w:val="CharStyle15"/>
          <w:lang w:val="en-US" w:eastAsia="en-US"/>
        </w:rPr>
        <w:t xml:space="preserve">№12» (250 </w:t>
      </w:r>
      <w:r>
        <w:rPr>
          <w:rStyle w:val="CharStyle15"/>
        </w:rPr>
        <w:t>см), указанную в инструкции по эксплуатации, размещенной на официальном сайте Федеральной службы по надзору в сфере здравоохранения.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>Комиссия Управления пришла к выводу, что в указанном случае характеристика «длина трубки соединительной системы» и характеристика «длина соединительной магистрали» являются тождественными друг другу, при этом Заявитель ошибочно указывает длину составной части (спиральной части) такой системы как общую длину соединительного элемента набора для проведения ангиографических исследований.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5"/>
        </w:rPr>
        <w:t>Следовательно, указанная Заявителем в структурированной заявке информация не соответствует информации о медицинском изделии, содержащейся в его инструкции по эксплуатации и письме уполномоченного представителя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</w:rPr>
        <w:t>производителя, держателя регистрационного удостоверения на оспариваемый товар.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5"/>
        </w:rPr>
        <w:t>Кроме того, в ходе проведения внеплановой проверки Комиссией Управления было установлено, что по второй позиции описания объекта закупки Заявителем предложено два товара различных производителей и, соответственно указано два товарных знака: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5"/>
        </w:rPr>
        <w:t xml:space="preserve">«Наборы высокого давления стерильные для введения рентгеноконтрастных веществ при проведении ангиографических исследований, компьютерной магниторезонансной томографии» в варианте исполнения «Набор </w:t>
      </w:r>
      <w:r>
        <w:rPr>
          <w:rStyle w:val="CharStyle15"/>
          <w:lang w:val="en-US" w:eastAsia="en-US"/>
        </w:rPr>
        <w:t xml:space="preserve">№5» </w:t>
      </w:r>
      <w:r>
        <w:rPr>
          <w:rStyle w:val="CharStyle15"/>
        </w:rPr>
        <w:t xml:space="preserve">производства «Шэньжень Антмед Ко., Лтд.», Китай (регистрационное удостоверение №РЗН </w:t>
      </w:r>
      <w:r>
        <w:rPr>
          <w:rStyle w:val="CharStyle15"/>
          <w:lang w:val="en-US" w:eastAsia="en-US"/>
        </w:rPr>
        <w:t xml:space="preserve">2021/13604 </w:t>
      </w:r>
      <w:r>
        <w:rPr>
          <w:rStyle w:val="CharStyle15"/>
        </w:rPr>
        <w:t xml:space="preserve">от </w:t>
      </w:r>
      <w:r>
        <w:rPr>
          <w:rStyle w:val="CharStyle15"/>
          <w:lang w:val="en-US" w:eastAsia="en-US"/>
        </w:rPr>
        <w:t xml:space="preserve">02.03.2021 </w:t>
      </w:r>
      <w:r>
        <w:rPr>
          <w:rStyle w:val="CharStyle15"/>
        </w:rPr>
        <w:t xml:space="preserve">года, товарный знак </w:t>
      </w:r>
      <w:r>
        <w:rPr>
          <w:rStyle w:val="CharStyle15"/>
          <w:lang w:val="en-US" w:eastAsia="en-US"/>
        </w:rPr>
        <w:t>«Antmed»);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6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5"/>
        </w:rPr>
        <w:t xml:space="preserve">«Трубка удлинительная одноразовая для системы инъекционной </w:t>
      </w:r>
      <w:r>
        <w:rPr>
          <w:rStyle w:val="CharStyle15"/>
          <w:lang w:val="en-US" w:eastAsia="en-US"/>
        </w:rPr>
        <w:t xml:space="preserve">MEDRAD Salient» </w:t>
      </w:r>
      <w:r>
        <w:rPr>
          <w:rStyle w:val="CharStyle15"/>
        </w:rPr>
        <w:t xml:space="preserve">в варианте исполнения </w:t>
      </w:r>
      <w:r>
        <w:rPr>
          <w:rStyle w:val="CharStyle15"/>
          <w:lang w:val="en-US" w:eastAsia="en-US"/>
        </w:rPr>
        <w:t xml:space="preserve">«ZY5151» </w:t>
      </w:r>
      <w:r>
        <w:rPr>
          <w:rStyle w:val="CharStyle15"/>
        </w:rPr>
        <w:t xml:space="preserve">производства «Имаксеон Пи Ти Уай Лтд» Австралия (регистрационное удостоверение №РЗН </w:t>
      </w:r>
      <w:r>
        <w:rPr>
          <w:rStyle w:val="CharStyle15"/>
          <w:lang w:val="en-US" w:eastAsia="en-US"/>
        </w:rPr>
        <w:t xml:space="preserve">2019/9436 </w:t>
      </w:r>
      <w:r>
        <w:rPr>
          <w:rStyle w:val="CharStyle15"/>
        </w:rPr>
        <w:t xml:space="preserve">от </w:t>
      </w:r>
      <w:r>
        <w:rPr>
          <w:rStyle w:val="CharStyle15"/>
          <w:lang w:val="en-US" w:eastAsia="en-US"/>
        </w:rPr>
        <w:t xml:space="preserve">23.12.2019 </w:t>
      </w:r>
      <w:r>
        <w:rPr>
          <w:rStyle w:val="CharStyle15"/>
        </w:rPr>
        <w:t xml:space="preserve">года товарный знак </w:t>
      </w:r>
      <w:r>
        <w:rPr>
          <w:rStyle w:val="CharStyle15"/>
          <w:lang w:val="en-US" w:eastAsia="en-US"/>
        </w:rPr>
        <w:t>«Medrad»).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5"/>
        </w:rPr>
        <w:t xml:space="preserve">Письмом ФАС России от </w:t>
      </w:r>
      <w:r>
        <w:rPr>
          <w:rStyle w:val="CharStyle15"/>
          <w:lang w:val="en-US" w:eastAsia="en-US"/>
        </w:rPr>
        <w:t xml:space="preserve">20.10.2025 </w:t>
      </w:r>
      <w:r>
        <w:rPr>
          <w:rStyle w:val="CharStyle15"/>
        </w:rPr>
        <w:t xml:space="preserve">года №ГР/98772/25 «О рассмотрении обращения» разъяснено, что товарный знак с учетом подпункта «д» пункта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51 </w:t>
      </w:r>
      <w:r>
        <w:rPr>
          <w:rStyle w:val="CharStyle15"/>
        </w:rPr>
        <w:t xml:space="preserve">Закона о контрактной системе, абзаца второго пункта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432 </w:t>
      </w:r>
      <w:r>
        <w:rPr>
          <w:rStyle w:val="CharStyle15"/>
        </w:rPr>
        <w:t>Гражданского кодекса Российской Федерации является существенным условием контракта.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5"/>
        </w:rPr>
        <w:t>В этой связи неопределенность по вопросу о товарном знаке закупаемого товара в виду указания в заявке на участие в закупке нескольких товарных знаков будет означать отсутствие достижения соглашения по указанному существенному условию.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5"/>
        </w:rPr>
        <w:t>Учитывая необходимость достижения соглашения по всем существенным условиям контракта его сторонами на момент заключения контракта, Законом о контрактной системе по общему правилу установлена необходимость представления участником закупки в заявке на участие в закупке предложения о поставке конкретного товара, обладающего определенным товарным знаком (при наличии), а не его возможными вариантами.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5"/>
        </w:rPr>
        <w:t xml:space="preserve">Также, в письме ФАС России от </w:t>
      </w:r>
      <w:r>
        <w:rPr>
          <w:rStyle w:val="CharStyle15"/>
          <w:lang w:val="en-US" w:eastAsia="en-US"/>
        </w:rPr>
        <w:t xml:space="preserve">29.08.2025 </w:t>
      </w:r>
      <w:r>
        <w:rPr>
          <w:rStyle w:val="CharStyle15"/>
        </w:rPr>
        <w:t>года №ГР/81837/25 «По вопросу указания сведений о товарном знаке при подаче заявки на участие в закупке» сообщается, что в случае указания участником закупки нескольких товарных знаков в отношении одной позиции товара заявка такого участника закупки рассматривается как несоответствующая требованиям Закона о контрактной системе.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5"/>
        </w:rPr>
        <w:t xml:space="preserve">Согласно подпункту «а» пункта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5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49 </w:t>
      </w:r>
      <w:r>
        <w:rPr>
          <w:rStyle w:val="CharStyle15"/>
        </w:rPr>
        <w:t xml:space="preserve">Закона о контрактной системе,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закупки,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пунктом </w:t>
      </w:r>
      <w:r>
        <w:rPr>
          <w:rStyle w:val="CharStyle15"/>
          <w:lang w:val="en-US" w:eastAsia="en-US"/>
        </w:rPr>
        <w:t xml:space="preserve">4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4 </w:t>
      </w:r>
      <w:r>
        <w:rPr>
          <w:rStyle w:val="CharStyle15"/>
        </w:rPr>
        <w:t>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</w:t>
      </w:r>
      <w:r>
        <w:br w:type="page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</w:rPr>
        <w:t xml:space="preserve">закупке по основаниям, предусмотренным пунктами </w:t>
      </w:r>
      <w:r>
        <w:rPr>
          <w:rStyle w:val="CharStyle15"/>
          <w:lang w:val="en-US" w:eastAsia="en-US"/>
        </w:rPr>
        <w:t xml:space="preserve">1 - 8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48 </w:t>
      </w:r>
      <w:r>
        <w:rPr>
          <w:rStyle w:val="CharStyle15"/>
        </w:rPr>
        <w:t>настоящего Федерального закона.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Пунктом </w:t>
      </w:r>
      <w:r>
        <w:rPr>
          <w:rStyle w:val="CharStyle15"/>
          <w:lang w:val="en-US" w:eastAsia="en-US"/>
        </w:rPr>
        <w:t xml:space="preserve">8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48 </w:t>
      </w:r>
      <w:r>
        <w:rPr>
          <w:rStyle w:val="CharStyle15"/>
        </w:rPr>
        <w:t>Закона о контрактной системе при рассмотрении вторых частей заявок на участие в закупке соответствующая заявка подлежит отклонению в случаях выявления недостоверной информации, содержащейся в заявке на участие в закупке.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Таким образом, действия комиссии по осуществлению закупок Заказчика не противоречат положения подпункта «а» пункта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5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49 </w:t>
      </w:r>
      <w:r>
        <w:rPr>
          <w:rStyle w:val="CharStyle15"/>
        </w:rPr>
        <w:t>Закона о контрактной системе.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Основания для выдачи предписания отсутствуют.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5"/>
        </w:rPr>
        <w:t xml:space="preserve">На основании вышеизложенного, в соответствии с частью </w:t>
      </w:r>
      <w:r>
        <w:rPr>
          <w:rStyle w:val="CharStyle15"/>
          <w:lang w:val="en-US" w:eastAsia="en-US"/>
        </w:rPr>
        <w:t xml:space="preserve">8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106 </w:t>
      </w:r>
      <w:r>
        <w:rPr>
          <w:rStyle w:val="CharStyle15"/>
        </w:rPr>
        <w:t xml:space="preserve">пунктом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22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99 </w:t>
      </w:r>
      <w:r>
        <w:rPr>
          <w:rStyle w:val="CharStyle15"/>
        </w:rPr>
        <w:t>Закона о контрактной системе, Комиссия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5"/>
          <w:b/>
          <w:bCs/>
        </w:rPr>
        <w:t>РЕШИЛА: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54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15"/>
        </w:rPr>
        <w:t xml:space="preserve">Признать жалобу ИП Карпач Е.И. на действия комиссии по осуществлению закупок ГБУЗ АО «ОКОД» и ГКУ АО «РЦОЗ» при проведении электронного аукциона на право заключить контракт на поставку медицинских изделий: Набор ангиографический (реестровый номер извещения </w:t>
      </w:r>
      <w:r>
        <w:rPr>
          <w:rStyle w:val="CharStyle15"/>
          <w:lang w:val="en-US" w:eastAsia="en-US"/>
        </w:rPr>
        <w:t xml:space="preserve">0825500000726001087) </w:t>
      </w:r>
      <w:r>
        <w:rPr>
          <w:rStyle w:val="CharStyle15"/>
        </w:rPr>
        <w:t>необоснованной.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4" w:val="left"/>
        </w:tabs>
        <w:bidi w:val="0"/>
        <w:spacing w:before="0" w:after="260" w:line="240" w:lineRule="auto"/>
        <w:ind w:left="0" w:right="0" w:firstLine="560"/>
        <w:jc w:val="both"/>
      </w:pPr>
      <w:r>
        <w:rPr>
          <w:rStyle w:val="CharStyle15"/>
        </w:rPr>
        <w:t>Предписание не выдавать.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560"/>
        <w:jc w:val="both"/>
      </w:pPr>
      <w:r>
        <w:rPr>
          <w:rStyle w:val="CharStyle15"/>
          <w:b/>
          <w:bCs/>
        </w:rPr>
        <w:t xml:space="preserve">Примечание: </w:t>
      </w:r>
      <w:r>
        <w:rPr>
          <w:rStyle w:val="CharStyle15"/>
        </w:rPr>
        <w:t>настоящее решение может быть обжаловано в соответствии с арбитражным процессуальным законодательством в течение трех месяцев с даты его принятия.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36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6075045</wp:posOffset>
                </wp:positionH>
                <wp:positionV relativeFrom="paragraph">
                  <wp:posOffset>12700</wp:posOffset>
                </wp:positionV>
                <wp:extent cx="1112520" cy="252730"/>
                <wp:wrapSquare wrapText="lef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1252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5"/>
                              </w:rPr>
                              <w:t>И.В. Русскина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78.35000000000002pt;margin-top:1.pt;width:87.600000000000009pt;height:19.900000000000002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5"/>
                        </w:rPr>
                        <w:t>И.В. Русскина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5"/>
        </w:rPr>
        <w:t>Председатель комиссии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5"/>
        </w:rPr>
        <w:t>Члены комиссии: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410" w:line="240" w:lineRule="auto"/>
        <w:ind w:left="1380" w:right="0" w:firstLine="0"/>
        <w:jc w:val="left"/>
      </w:pPr>
      <w:r>
        <w:drawing>
          <wp:anchor distT="0" distB="0" distL="114300" distR="1931035" simplePos="0" relativeHeight="125829382" behindDoc="0" locked="0" layoutInCell="1" allowOverlap="1">
            <wp:simplePos x="0" y="0"/>
            <wp:positionH relativeFrom="page">
              <wp:posOffset>3008630</wp:posOffset>
            </wp:positionH>
            <wp:positionV relativeFrom="paragraph">
              <wp:posOffset>114300</wp:posOffset>
            </wp:positionV>
            <wp:extent cx="298450" cy="347345"/>
            <wp:wrapSquare wrapText="right"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3398520</wp:posOffset>
                </wp:positionH>
                <wp:positionV relativeFrom="paragraph">
                  <wp:posOffset>175260</wp:posOffset>
                </wp:positionV>
                <wp:extent cx="1722120" cy="25908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  <w:b/>
                                <w:bCs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67.60000000000002pt;margin-top:13.800000000000001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  <w:b/>
                          <w:bCs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5"/>
        </w:rPr>
        <w:t>Е.М. Крупина</w:t>
      </w:r>
    </w:p>
    <w:p>
      <w:pPr>
        <w:pStyle w:val="Style2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0" w:right="0" w:firstLine="0"/>
        <w:jc w:val="center"/>
      </w:pPr>
      <w:r>
        <w:rPr>
          <w:rStyle w:val="CharStyle23"/>
          <w:b/>
          <w:bCs/>
          <w:color w:val="FFFFFF"/>
        </w:rPr>
        <w:t>СВЕДЕНИЯ О СЕРТИФИКАТЕ 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1"/>
          <w:szCs w:val="11"/>
        </w:rPr>
      </w:pPr>
      <w:r>
        <w:rPr>
          <w:rStyle w:val="CharStyle25"/>
        </w:rPr>
        <w:t xml:space="preserve">Кому выдан: </w:t>
      </w:r>
      <w:r>
        <w:rPr>
          <w:rStyle w:val="CharStyle25"/>
          <w:b/>
          <w:bCs/>
          <w:color w:val="000000"/>
          <w:sz w:val="11"/>
          <w:szCs w:val="11"/>
        </w:rPr>
        <w:t>Крупина Екатерина Максимовна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25"/>
        </w:rPr>
        <w:t xml:space="preserve">Сертификат </w:t>
      </w:r>
      <w:r>
        <w:rPr>
          <w:rStyle w:val="CharStyle25"/>
          <w:color w:val="292929"/>
        </w:rPr>
        <w:t xml:space="preserve">№ </w:t>
      </w:r>
      <w:r>
        <w:rPr>
          <w:rStyle w:val="CharStyle25"/>
          <w:lang w:val="en-US" w:eastAsia="en-US"/>
        </w:rPr>
        <w:t>00DA7352B1B585BC8F4F433340FB20CFDE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25"/>
        </w:rPr>
        <w:t xml:space="preserve">Действителен с 04.08.2025 </w:t>
      </w:r>
      <w:r>
        <w:rPr>
          <w:rStyle w:val="CharStyle25"/>
          <w:color w:val="5E5E5E"/>
        </w:rPr>
        <w:t xml:space="preserve">по </w:t>
      </w:r>
      <w:r>
        <w:rPr>
          <w:rStyle w:val="CharStyle25"/>
        </w:rPr>
        <w:t>28.10.2026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840" w:line="240" w:lineRule="auto"/>
        <w:ind w:left="8560" w:right="0" w:firstLine="0"/>
        <w:jc w:val="both"/>
      </w:pPr>
      <w:r>
        <w:rPr>
          <w:rStyle w:val="CharStyle15"/>
        </w:rPr>
        <w:t>В.С. Миляева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Исп.Крупина Е.М.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Style w:val="CharStyle30"/>
        </w:rPr>
        <w:t>тел.(8512) 39-29-54, вн.030-115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279" w:right="538" w:bottom="1221" w:left="1095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722630</wp:posOffset>
              </wp:positionH>
              <wp:positionV relativeFrom="page">
                <wp:posOffset>10010140</wp:posOffset>
              </wp:positionV>
              <wp:extent cx="655320" cy="10985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2026-2583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6.899999999999999pt;margin-top:788.20000000000005pt;width:51.600000000000001pt;height:8.6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2026-2583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9851390</wp:posOffset>
              </wp:positionV>
              <wp:extent cx="655320" cy="10985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2026-2583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75.70000000000005pt;width:51.600000000000001pt;height:8.6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2026-2583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6"/>
      <w:szCs w:val="16"/>
      <w:u w:val="none"/>
    </w:rPr>
  </w:style>
  <w:style w:type="character" w:customStyle="1" w:styleId="CharStyle9">
    <w:name w:val="Body text (4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8"/>
      <w:sz w:val="19"/>
      <w:szCs w:val="19"/>
      <w:u w:val="none"/>
    </w:rPr>
  </w:style>
  <w:style w:type="character" w:customStyle="1" w:styleId="CharStyle12">
    <w:name w:val="Picture caption_"/>
    <w:basedOn w:val="DefaultParagraphFont"/>
    <w:link w:val="Style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5">
    <w:name w:val="Body text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8">
    <w:name w:val="Heading #2_"/>
    <w:basedOn w:val="DefaultParagraphFont"/>
    <w:link w:val="Style17"/>
    <w:rPr>
      <w:rFonts w:ascii="Arial" w:eastAsia="Arial" w:hAnsi="Arial" w:cs="Arial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0">
    <w:name w:val="Heading #1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  <w:style w:type="character" w:customStyle="1" w:styleId="CharStyle23">
    <w:name w:val="Body text (6)_"/>
    <w:basedOn w:val="DefaultParagraphFont"/>
    <w:link w:val="Style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5">
    <w:name w:val="Body text (3)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character" w:customStyle="1" w:styleId="CharStyle30">
    <w:name w:val="Body text (5)_"/>
    <w:basedOn w:val="DefaultParagraphFont"/>
    <w:link w:val="Style2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2)"/>
    <w:basedOn w:val="Normal"/>
    <w:link w:val="CharStyle6"/>
    <w:pPr>
      <w:widowControl w:val="0"/>
      <w:shd w:val="clear" w:color="auto" w:fill="auto"/>
      <w:spacing w:after="140" w:line="307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6"/>
      <w:szCs w:val="16"/>
      <w:u w:val="none"/>
    </w:rPr>
  </w:style>
  <w:style w:type="paragraph" w:customStyle="1" w:styleId="Style8">
    <w:name w:val="Body text (4)"/>
    <w:basedOn w:val="Normal"/>
    <w:link w:val="CharStyle9"/>
    <w:pPr>
      <w:widowControl w:val="0"/>
      <w:shd w:val="clear" w:color="auto" w:fill="auto"/>
      <w:spacing w:after="18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8"/>
      <w:sz w:val="19"/>
      <w:szCs w:val="19"/>
      <w:u w:val="none"/>
    </w:rPr>
  </w:style>
  <w:style w:type="paragraph" w:customStyle="1" w:styleId="Style11">
    <w:name w:val="Picture caption"/>
    <w:basedOn w:val="Normal"/>
    <w:link w:val="CharStyle12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92929"/>
      <w:sz w:val="11"/>
      <w:szCs w:val="11"/>
      <w:u w:val="none"/>
    </w:rPr>
  </w:style>
  <w:style w:type="paragraph" w:styleId="Style14">
    <w:name w:val="Body text"/>
    <w:basedOn w:val="Normal"/>
    <w:link w:val="CharStyle15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7">
    <w:name w:val="Heading #2"/>
    <w:basedOn w:val="Normal"/>
    <w:link w:val="CharStyle18"/>
    <w:pPr>
      <w:widowControl w:val="0"/>
      <w:shd w:val="clear" w:color="auto" w:fill="auto"/>
      <w:jc w:val="center"/>
      <w:outlineLvl w:val="1"/>
    </w:pPr>
    <w:rPr>
      <w:rFonts w:ascii="Arial" w:eastAsia="Arial" w:hAnsi="Arial" w:cs="Arial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19">
    <w:name w:val="Heading #1"/>
    <w:basedOn w:val="Normal"/>
    <w:link w:val="CharStyle20"/>
    <w:pPr>
      <w:widowControl w:val="0"/>
      <w:shd w:val="clear" w:color="auto" w:fill="auto"/>
      <w:spacing w:after="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  <w:style w:type="paragraph" w:customStyle="1" w:styleId="Style22">
    <w:name w:val="Body text (6)"/>
    <w:basedOn w:val="Normal"/>
    <w:link w:val="CharStyle23"/>
    <w:pPr>
      <w:widowControl w:val="0"/>
      <w:shd w:val="clear" w:color="auto" w:fill="auto"/>
      <w:spacing w:after="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4">
    <w:name w:val="Body text (3)"/>
    <w:basedOn w:val="Normal"/>
    <w:link w:val="CharStyle25"/>
    <w:pPr>
      <w:widowControl w:val="0"/>
      <w:shd w:val="clear" w:color="auto" w:fill="auto"/>
      <w:spacing w:after="130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paragraph" w:customStyle="1" w:styleId="Style29">
    <w:name w:val="Body text (5)"/>
    <w:basedOn w:val="Normal"/>
    <w:link w:val="CharStyle30"/>
    <w:pPr>
      <w:widowControl w:val="0"/>
      <w:shd w:val="clear" w:color="auto" w:fill="auto"/>
      <w:spacing w:after="13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