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21.05.2026</w:t>
      </w:r>
      <w:r>
        <w:fldChar w:fldCharType="end"/>
      </w:r>
      <w:r>
        <w:rPr>
          <w:rStyle w:val="CharStyle10"/>
        </w:rPr>
        <w:tab/>
        <w:t>№ 21892/26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ФКУ «Объединенная дирекция»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Минстроя России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"mailto:zakupki@guod.ru" </w:instrText>
      </w:r>
      <w:r>
        <w:fldChar w:fldCharType="separate"/>
      </w:r>
      <w:r>
        <w:rPr>
          <w:rStyle w:val="CharStyle12"/>
          <w:lang w:val="en-US" w:eastAsia="en-US"/>
        </w:rPr>
        <w:t>zakupki@guod.ru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«Телематика»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588" w:bottom="1232" w:left="1265" w:header="0" w:footer="3" w:gutter="0"/>
          <w:pgNumType w:start="1"/>
          <w:cols w:num="2" w:space="1234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"mailto:info@telematica.ru" </w:instrText>
      </w:r>
      <w:r>
        <w:fldChar w:fldCharType="separate"/>
      </w:r>
      <w:r>
        <w:rPr>
          <w:rStyle w:val="CharStyle12"/>
          <w:lang w:val="en-US" w:eastAsia="en-US"/>
        </w:rPr>
        <w:t>info@telematica.ru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46" w:right="0" w:bottom="9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№077/06/105-6209/2026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0</wp:posOffset>
                </wp:positionV>
                <wp:extent cx="1179830" cy="42037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b/>
                                <w:bCs/>
                                <w:lang w:val="en-US" w:eastAsia="en-US"/>
                              </w:rPr>
                              <w:t>18.05.2026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660"/>
                              <w:jc w:val="both"/>
                            </w:pPr>
                            <w:r>
                              <w:rPr>
                                <w:rStyle w:val="CharStyle12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6.899999999999999pt;margin-top:0;width:92.900000000000006pt;height:33.1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b/>
                          <w:bCs/>
                          <w:lang w:val="en-US" w:eastAsia="en-US"/>
                        </w:rPr>
                        <w:t>18.05.2026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660"/>
                        <w:jc w:val="both"/>
                      </w:pPr>
                      <w:r>
                        <w:rPr>
                          <w:rStyle w:val="CharStyle12"/>
                        </w:rPr>
                        <w:t>Комиссия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4465" distB="3175" distL="0" distR="0" simplePos="0" relativeHeight="125829380" behindDoc="0" locked="0" layoutInCell="1" allowOverlap="1">
                <wp:simplePos x="0" y="0"/>
                <wp:positionH relativeFrom="page">
                  <wp:posOffset>2127885</wp:posOffset>
                </wp:positionH>
                <wp:positionV relativeFrom="paragraph">
                  <wp:posOffset>164465</wp:posOffset>
                </wp:positionV>
                <wp:extent cx="3797935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9793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Управления Федеральной антимонопольной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167.55000000000001pt;margin-top:12.950000000000001pt;width:299.05000000000001pt;height:19.900000000000002pt;z-index:-125829373;mso-wrap-distance-left:0;mso-wrap-distance-top:12.950000000000001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Управления Федеральной антимонопольной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6156960</wp:posOffset>
                </wp:positionH>
                <wp:positionV relativeFrom="paragraph">
                  <wp:posOffset>0</wp:posOffset>
                </wp:positionV>
                <wp:extent cx="1048385" cy="42037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  <w:b/>
                                <w:bCs/>
                              </w:rPr>
                              <w:t>г.Москва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службы по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84.80000000000001pt;margin-top:0;width:82.549999999999997pt;height:33.100000000000001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  <w:b/>
                          <w:bCs/>
                        </w:rPr>
                        <w:t>г.Москва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службы по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г. Москве по контролю в сфере закупок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Гелмутдиновой,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видео-конференц-связи),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при участии представителей: ФКУ «Объединенная дирекция» Минстроя России: Ривякова Ф.А. (дов.№дов-юр-56 от </w:t>
      </w:r>
      <w:r>
        <w:rPr>
          <w:rStyle w:val="CharStyle12"/>
          <w:lang w:val="en-US" w:eastAsia="en-US"/>
        </w:rPr>
        <w:t xml:space="preserve">25.12.2025) </w:t>
      </w:r>
      <w:r>
        <w:rPr>
          <w:rStyle w:val="CharStyle12"/>
        </w:rPr>
        <w:t xml:space="preserve">(принимал участие до объявления перерыва в рассмотрении жалобы), Лескина А.А. (дов.№дов-юр-31 от </w:t>
      </w:r>
      <w:r>
        <w:rPr>
          <w:rStyle w:val="CharStyle12"/>
          <w:lang w:val="en-US" w:eastAsia="en-US"/>
        </w:rPr>
        <w:t xml:space="preserve">14.05.2026), </w:t>
      </w:r>
      <w:r>
        <w:rPr>
          <w:rStyle w:val="CharStyle12"/>
        </w:rPr>
        <w:t xml:space="preserve">Матвеева Д.С. (дов.№дов-юр-32 от </w:t>
      </w:r>
      <w:r>
        <w:rPr>
          <w:rStyle w:val="CharStyle12"/>
          <w:lang w:val="en-US" w:eastAsia="en-US"/>
        </w:rPr>
        <w:t xml:space="preserve">14.05.2026), </w:t>
      </w:r>
      <w:r>
        <w:rPr>
          <w:rStyle w:val="CharStyle12"/>
        </w:rPr>
        <w:t xml:space="preserve">Бодрова А.М. (дов.№дов- юр-33 от </w:t>
      </w:r>
      <w:r>
        <w:rPr>
          <w:rStyle w:val="CharStyle12"/>
          <w:lang w:val="en-US" w:eastAsia="en-US"/>
        </w:rPr>
        <w:t xml:space="preserve">14.05.2026), </w:t>
      </w:r>
      <w:r>
        <w:rPr>
          <w:rStyle w:val="CharStyle12"/>
        </w:rPr>
        <w:t xml:space="preserve">Парамонова Д.А. (дов.№дов-юр-34 от </w:t>
      </w:r>
      <w:r>
        <w:rPr>
          <w:rStyle w:val="CharStyle12"/>
          <w:lang w:val="en-US" w:eastAsia="en-US"/>
        </w:rPr>
        <w:t xml:space="preserve">14.05.2026) </w:t>
      </w:r>
      <w:r>
        <w:rPr>
          <w:rStyle w:val="CharStyle12"/>
        </w:rPr>
        <w:t xml:space="preserve">ООО «Телематика»: Семагина И.О. (дов.№268 от </w:t>
      </w:r>
      <w:r>
        <w:rPr>
          <w:rStyle w:val="CharStyle12"/>
          <w:lang w:val="en-US" w:eastAsia="en-US"/>
        </w:rPr>
        <w:t xml:space="preserve">13.05.2026), </w:t>
      </w:r>
      <w:r>
        <w:rPr>
          <w:rStyle w:val="CharStyle12"/>
        </w:rPr>
        <w:t xml:space="preserve">Смердова А.А. 9дов. </w:t>
      </w:r>
      <w:r>
        <w:rPr>
          <w:rStyle w:val="CharStyle12"/>
          <w:lang w:val="en-US" w:eastAsia="en-US"/>
        </w:rPr>
        <w:t xml:space="preserve">№269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13.05.2026), </w:t>
      </w:r>
      <w:r>
        <w:rPr>
          <w:rStyle w:val="CharStyle12"/>
        </w:rPr>
        <w:t>Лесникова Д.А. (дов.№14.05.2026),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рассмотрев жалобу ООО «Телематика»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ФКУ «Объединенная дирекция» Минстроя России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Заказчик) при проведении открытого конкурса в электронной форме на право заключения государственного контракта на оказание услуг по комплексно-технической эксплуатации информационных систем и компонентов информационно-телекоммуникационной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both"/>
      </w:pPr>
      <w:r>
        <w:rPr>
          <w:rStyle w:val="CharStyle12"/>
        </w:rPr>
        <w:t xml:space="preserve">инфраструктуры Министерства строительства и жилищно-коммунального хозяйства Российской Федерации (Закупка </w:t>
      </w:r>
      <w:r>
        <w:rPr>
          <w:rStyle w:val="CharStyle12"/>
          <w:lang w:val="en-US" w:eastAsia="en-US"/>
        </w:rPr>
        <w:t xml:space="preserve">№0373100024326000013)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конкурс),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По результатам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 составе жалобы Заявитель указывает, что в составе извещения об осуществлении закупки Заказчиком неправомерно установлено требование о необходимости наличия у участника закупки действующей лицензии на проведение работ, связанных с использованием сведений, составляющих государственную тайну в соответствии с положениями ст.27 Закона РФ от </w:t>
      </w:r>
      <w:r>
        <w:rPr>
          <w:rStyle w:val="CharStyle12"/>
          <w:lang w:val="en-US" w:eastAsia="en-US"/>
        </w:rPr>
        <w:t xml:space="preserve">21.07.1993 №5485-1 </w:t>
      </w:r>
      <w:r>
        <w:rPr>
          <w:rStyle w:val="CharStyle12"/>
        </w:rPr>
        <w:t>«О государственной тайне».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 частности Заявитель указывает, что работы (услуги), для выполнения (оказания) которых необходима соответствующая лицензия не являются основным объектом закупки, ввиду чего требование о наличии действующей лицензии на проведение работ, связанных с использованием сведений, составляющих государственную тайну в соответствии с положениями ст.27 Закона РФ от </w:t>
      </w:r>
      <w:r>
        <w:rPr>
          <w:rStyle w:val="CharStyle12"/>
          <w:lang w:val="en-US" w:eastAsia="en-US"/>
        </w:rPr>
        <w:t xml:space="preserve">21.07.1993 №5485-1 </w:t>
      </w:r>
      <w:r>
        <w:rPr>
          <w:rStyle w:val="CharStyle12"/>
        </w:rPr>
        <w:t>«О государственной тайне», необходимо предъявлять к исполнителю контракта для выполнения конкретных видов работ.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п.5 ч.1 ст.42 Закона о контрактной системе извещение об осуществлении закупки должно содержать наименование объекта закупки информация (при наличии), предусмотренная правилами использования каталога товаров, работ, услуг для обеспечения государственных и муниципальных нужд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60"/>
        <w:ind w:left="0" w:right="0" w:firstLine="700"/>
        <w:jc w:val="both"/>
      </w:pPr>
      <w:r>
        <w:rPr>
          <w:rStyle w:val="CharStyle12"/>
        </w:rPr>
        <w:t>Комиссией Управления установлено, что, согласно извещению об осуществлении закупки, объектом закупки оказание услуг по комплексно</w:t>
        <w:softHyphen/>
        <w:t>технической эксплуатации информационных систем и компонентов информационно-телекоммуникационной инфраструктуры Министерства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2"/>
        </w:rPr>
        <w:t>строительства и жилищно-коммунального хозяйства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Согласно ч.1 ст.49 Гражданского кодекса Российской Федерации в случаях предусмотренных законом, юридическое лицо может заниматься отдельными видами деятельности только на основании специального разрешения (лицензии)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Ст.27 Закона РФ от </w:t>
      </w:r>
      <w:r>
        <w:rPr>
          <w:rStyle w:val="CharStyle12"/>
          <w:lang w:val="en-US" w:eastAsia="en-US"/>
        </w:rPr>
        <w:t xml:space="preserve">21.07.1993 №5485-1 </w:t>
      </w:r>
      <w:r>
        <w:rPr>
          <w:rStyle w:val="CharStyle12"/>
        </w:rPr>
        <w:t>«О государственной тайне» в том числе определено, что допуск предприятий, учреждений и организаций к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тайны, осуществляется путем получения ими в порядке, устанавливаемом Правительством Российской Федерации, лицензий на проведение работ со сведениями соответствующей степени секретности.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Согласно п.1 ч.1 ст.31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п. </w:t>
      </w:r>
      <w:r>
        <w:rPr>
          <w:rStyle w:val="CharStyle12"/>
          <w:lang w:val="en-US" w:eastAsia="en-US"/>
        </w:rPr>
        <w:t xml:space="preserve">4, 5, 18, 30, 42, 49, 54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59 </w:t>
      </w:r>
      <w:r>
        <w:rPr>
          <w:rStyle w:val="CharStyle12"/>
        </w:rPr>
        <w:t>ч.1 ст.93 Закона о контрактной системе, заказчик устанавливает единое требование к участникам закупки о соответствии требованиям, установленным в соответствии с законодательством Российской Федерации к лицам осуществляющим поставку товара, выполнение работы, оказание услуги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П.1 Постановления Правительства РФ от </w:t>
      </w:r>
      <w:r>
        <w:rPr>
          <w:rStyle w:val="CharStyle12"/>
          <w:lang w:val="en-US" w:eastAsia="en-US"/>
        </w:rPr>
        <w:t xml:space="preserve">15.04.1995 №333 </w:t>
      </w:r>
      <w:r>
        <w:rPr>
          <w:rStyle w:val="CharStyle12"/>
        </w:rPr>
        <w:t xml:space="preserve">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утверждено Положение о лицензировании деятельности предприятий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Положение о лицензировании услуг по защите государственной тайны).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П.1 Положения о лицензировании услуг по защите государственной тайны определено, что Положение о лицензировании услуг по защите государственной тайны устанавливает порядок лицензирования деятельности предприятий учреждений и организаций независимо от их организационно-правовых форм (далее именуются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предприятия)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На основании п.12 ч.1 ст.42 Закона о контрактной системе извещение об осуществлении закупки, должно содержать требования, предъявляемые к участникам закупки в соответствии с ч.1 ст.31 Закона о контрактной системе, требования предъявляемые к участникам закупки в соответствии с ч.2 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>(при наличии таких требований) ст.31 Закона о контрактной системе, информация и исчерпывающий перечень документов, которые подтверждают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Согласно ч.5 ст.31 Закона о контрактной системе информация об установленных требованиях в соответствии с ч.1, </w:t>
      </w:r>
      <w:r>
        <w:rPr>
          <w:rStyle w:val="CharStyle12"/>
          <w:lang w:val="en-US" w:eastAsia="en-US"/>
        </w:rPr>
        <w:t xml:space="preserve">1.1, 2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>ст.31 Закона о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 извещении об осуществлении закупки Заказчиком установлено в том числе следующее требование к участнику закупки: </w:t>
      </w:r>
      <w:r>
        <w:rPr>
          <w:rStyle w:val="CharStyle12"/>
          <w:lang w:val="en-US" w:eastAsia="en-US"/>
        </w:rPr>
        <w:t>«</w:t>
      </w:r>
      <w:r>
        <w:rPr>
          <w:rStyle w:val="CharStyle12"/>
          <w:i/>
          <w:iCs/>
          <w:lang w:val="en-US" w:eastAsia="en-US"/>
        </w:rPr>
        <w:t xml:space="preserve">3. </w:t>
      </w:r>
      <w:r>
        <w:rPr>
          <w:rStyle w:val="CharStyle12"/>
          <w:i/>
          <w:iCs/>
        </w:rPr>
        <w:t xml:space="preserve">В соответствии с постановлением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15 </w:t>
      </w:r>
      <w:r>
        <w:rPr>
          <w:rStyle w:val="CharStyle12"/>
          <w:i/>
          <w:iCs/>
        </w:rPr>
        <w:t xml:space="preserve">апреля </w:t>
      </w:r>
      <w:r>
        <w:rPr>
          <w:rStyle w:val="CharStyle12"/>
          <w:i/>
          <w:iCs/>
          <w:lang w:val="en-US" w:eastAsia="en-US"/>
        </w:rPr>
        <w:t xml:space="preserve">1995 </w:t>
      </w:r>
      <w:r>
        <w:rPr>
          <w:rStyle w:val="CharStyle12"/>
          <w:i/>
          <w:iCs/>
        </w:rPr>
        <w:t xml:space="preserve">года </w:t>
      </w:r>
      <w:r>
        <w:rPr>
          <w:rStyle w:val="CharStyle12"/>
          <w:i/>
          <w:iCs/>
          <w:lang w:val="en-US" w:eastAsia="en-US"/>
        </w:rPr>
        <w:t xml:space="preserve">№ 333 </w:t>
      </w:r>
      <w:r>
        <w:rPr>
          <w:rStyle w:val="CharStyle12"/>
          <w:i/>
          <w:iCs/>
        </w:rPr>
        <w:t>Исполнитель должен обладать действующей лицензией ФСБ России на осуществление работ с использованием сведений, составляющих государственную тайну. Соответствие установленным требованиям может подтверждаться: выпиской из реестра лицензий, либо копией акта лицензирующего органа о принятом решении, либо документом, информацией со сведениями, которые дают возможность подтвердить соответствие установленным требованиям»</w:t>
      </w:r>
      <w:r>
        <w:rPr>
          <w:rStyle w:val="CharStyle12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оспариваемое требование о наличии действующей лицензии на проведение работ связанных с использованием сведений, составляющих государственную тайну в соответствии с положениями ст.27 Закона РФ от </w:t>
      </w:r>
      <w:r>
        <w:rPr>
          <w:rStyle w:val="CharStyle12"/>
          <w:lang w:val="en-US" w:eastAsia="en-US"/>
        </w:rPr>
        <w:t xml:space="preserve">21.07.1993 №5485-1 </w:t>
      </w:r>
      <w:r>
        <w:rPr>
          <w:rStyle w:val="CharStyle12"/>
        </w:rPr>
        <w:t xml:space="preserve">«О государственной тайне» основывается, в том числе, на поступившем в </w:t>
      </w:r>
      <w:r>
        <w:rPr>
          <w:rStyle w:val="CharStyle12"/>
          <w:lang w:val="en-US" w:eastAsia="en-US"/>
        </w:rPr>
        <w:t xml:space="preserve">2025 </w:t>
      </w:r>
      <w:r>
        <w:rPr>
          <w:rStyle w:val="CharStyle12"/>
        </w:rPr>
        <w:t>году указании ФСО, в соответствии с которым обеспечение проведения сеансов закрытой (защищённой) видео-конференц-связи допускается только специалистами с допуском к государственной тайне, в противном случае проведение секретных сеансов связи запрещено.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При этом представить Заказчика указывает, что установление требования о необходимости наличия лицензии ФСБ России к исполнителю является неисполнимым, так как в таком случае Заказчик не сможет взаимодействовать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напрямую с исполнителем контракта (генеральным подрядчиком), в том числе представлять сведения по контракту, связанные с государственной тайной.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 этом в рамках закупаемых работ (услуг) исполнителю контракта будут доступны сведения, являющиеся государственной тайной, предусмотренные ст.5 Закон РФ от </w:t>
      </w:r>
      <w:r>
        <w:rPr>
          <w:rStyle w:val="CharStyle12"/>
          <w:lang w:val="en-US" w:eastAsia="en-US"/>
        </w:rPr>
        <w:t xml:space="preserve">21.07.1993 N 5485-1 </w:t>
      </w:r>
      <w:r>
        <w:rPr>
          <w:rStyle w:val="CharStyle12"/>
        </w:rPr>
        <w:t>«О государственной тайне», и относящиеся к: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сведениям в области экономики, науки и техники;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сведениям в области внешней политики и экономики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сведениям в области разведывательной, контрразведывательной и оперативно-розыскной деятельности.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Управления отмечает, что Заявителем не оспаривается факт наличия работ (услуг) для выполнения (оказания) которых необходима лицензия на проведение работ, связанных с использованием сведений, составляющих государственную тайну в соответствии с положениями ст.27 Закона РФ от </w:t>
      </w:r>
      <w:r>
        <w:rPr>
          <w:rStyle w:val="CharStyle12"/>
          <w:lang w:val="en-US" w:eastAsia="en-US"/>
        </w:rPr>
        <w:t xml:space="preserve">21.07.1993 №5485-1 </w:t>
      </w:r>
      <w:r>
        <w:rPr>
          <w:rStyle w:val="CharStyle12"/>
        </w:rPr>
        <w:t xml:space="preserve">«О государственной тайне», вместе с этим при выполнении работ (оказании) услуг исполнителю контракта (участнику закупки) представляются исчерпывающие сведения по контракту, ввиду чего установление требования о необходимости наличия непосредственно у участника закупки лицензии на проведение работ, связанных с использованием сведений, составляющих государственную тайну в соответствии с положениями ст.27 Закона РФ от </w:t>
      </w:r>
      <w:r>
        <w:rPr>
          <w:rStyle w:val="CharStyle12"/>
          <w:lang w:val="en-US" w:eastAsia="en-US"/>
        </w:rPr>
        <w:t xml:space="preserve">21.07.1993 №5485-1 </w:t>
      </w:r>
      <w:r>
        <w:rPr>
          <w:rStyle w:val="CharStyle12"/>
        </w:rPr>
        <w:t>«О государственной тайне», в данном конкретном случае не противоречит требованиям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как на заседании Комиссии Управления, так и в составе жалобы Заявителем не представлено документов и сведений, свидетельствующих о том, что при оказании услуг исполнителю контракта (участнику закупки) не представляется доступ к сведениям составляющий государственную тайну и закупаемые услуги представляется возможным оказать без представления сведений к государственной тайне исполнителю контракта (участнику закупки),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Иного на заседании Комиссии Управления не выявлено.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 основании вышеизложенного Комиссия Управления приходит к выводу, что данный довод жалобы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2. </w:t>
      </w:r>
      <w:r>
        <w:rPr>
          <w:rStyle w:val="CharStyle12"/>
        </w:rPr>
        <w:t xml:space="preserve">Также в составе жалобы Заявитель указывает, что Заказчиком неправомерно в один лот объединены работы (услуги) для выполнения которых необходима лицензия на проведение работ, связанных с использованием сведений, составляющих государственную тайну в соответствии с положениями ст.27 Закона РФ от </w:t>
      </w:r>
      <w:r>
        <w:rPr>
          <w:rStyle w:val="CharStyle12"/>
          <w:lang w:val="en-US" w:eastAsia="en-US"/>
        </w:rPr>
        <w:t xml:space="preserve">21.07.1993 №5485-1 </w:t>
      </w:r>
      <w:r>
        <w:rPr>
          <w:rStyle w:val="CharStyle12"/>
        </w:rPr>
        <w:t>«О государственной тайне» и работы (услуги) для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2"/>
        </w:rPr>
        <w:t xml:space="preserve">которых лицензия на проведение работ, связанных с использованием сведений составляющих государственную тайну в соответствии с положениями ст.27 Закона РФ от </w:t>
      </w:r>
      <w:r>
        <w:rPr>
          <w:rStyle w:val="CharStyle12"/>
          <w:lang w:val="en-US" w:eastAsia="en-US"/>
        </w:rPr>
        <w:t xml:space="preserve">21.07.1993 №5485-1 </w:t>
      </w:r>
      <w:r>
        <w:rPr>
          <w:rStyle w:val="CharStyle12"/>
        </w:rPr>
        <w:t>«О государственной тайне» не требуется.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Кроме того, Заявитель указывает, что в описание объекта закупки сформировано в нарушение положений Закона о контрактной системе, в частности: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8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в документации не указан перечень сведений, составляющих государственную тайну, которые государственный заказчик обязан передать исполнителю;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8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в описании объекта закупки отсутствует конкретный перечень объектов и/или помещений, которые являются секретными и/или для доступа в какие объекты требуется наличие лицензия на проведение работ, связанных с использованием сведений, составляющих государственную тайну в соответствии с положениями ст.27 Закона РФ от </w:t>
      </w:r>
      <w:r>
        <w:rPr>
          <w:rStyle w:val="CharStyle12"/>
          <w:lang w:val="en-US" w:eastAsia="en-US"/>
        </w:rPr>
        <w:t xml:space="preserve">21.07.1993 №5485-1 </w:t>
      </w:r>
      <w:r>
        <w:rPr>
          <w:rStyle w:val="CharStyle12"/>
        </w:rPr>
        <w:t>«О государственной тайне»;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8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в описании объекта закупки неправомерно и необоснованно установлены требования о наличии определенного количества человек имеющих допуск к государственной тайне и определенного количества специалистов имеющих сертификаты о прохождении обучения по работе со средствами криптографической защиты производства АО «ИнфоТеКС» и «Горизонт-ВС».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 промышленных образцов, наименование страны происхождения товара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Комиссией Управления установлено, что в описании объекта закупки в том числе указано: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18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3.2. </w:t>
      </w:r>
      <w:r>
        <w:rPr>
          <w:rStyle w:val="CharStyle12"/>
        </w:rPr>
        <w:t>Основные задачи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Достижение цели обеспечивается решением следующих задач: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8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Обеспечение необходимой и достаточной доступности ресурсов ИТ- инфраструктуры Получателя.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8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Контроль и обеспечение функционирования ИТ-инфраструктуры Получателя с допустимым плановым временем простоя.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118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Обеспечение своевременного восстановления ресурсов и контроль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rStyle w:val="CharStyle12"/>
        </w:rPr>
        <w:t>сроков восстановления.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Получение объективной и своевременной информации о фактическом состоянии компонентов ИТ-инфраструктуры Получателя.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Контроль состава, количественных и качественных характеристик оказываемых Услуг.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67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Сбор и обобщение данных о надежности ИТ-инфраструктуры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Получателя и ее компонентов.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Организация взаимодействия (при обеспечении технической поддержки) с операторами информационных систем, в части сервисов предоставляемых для пользователей Минстроя России (в том числе, но не ограничиваясь этим: сервис ГЕОП, АРМ ГС «Среда», КЦР, ЕПГУ, ЕСИА, АРМ ДСП, АРМ Посейдон).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Локализация и ликвидация сбоев и нарушений в работе компонентов ИТ-инфраструктуры Получателя.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Восстановление режимов работы компонентов ИТ-инфраструктуры Получателя.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1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Ведение эксплуатационной документации.»;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«Для оказания Услуг по комплексно-технической эксплуатации части объектов ИТ-инфраструктуры, расположенных в выделенных помещениях, а также в помещениях, предназначенных для обработки информации, содержащей государственную тайну Исполнитель должен включить в состав рабочих групп ИТ службы (пункт </w:t>
      </w:r>
      <w:r>
        <w:rPr>
          <w:rStyle w:val="CharStyle12"/>
          <w:lang w:val="en-US" w:eastAsia="en-US"/>
        </w:rPr>
        <w:t xml:space="preserve">№5.1) </w:t>
      </w:r>
      <w:r>
        <w:rPr>
          <w:rStyle w:val="CharStyle12"/>
        </w:rPr>
        <w:t xml:space="preserve">специалистов с оформленным установленным порядком допуском в рекомендуемом минимальном количестве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(четырех) человек (Правила допуска должностных лиц и граждан Российской Федерации к государственной тайне, утвержденные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февраля </w:t>
      </w:r>
      <w:r>
        <w:rPr>
          <w:rStyle w:val="CharStyle12"/>
          <w:lang w:val="en-US" w:eastAsia="en-US"/>
        </w:rPr>
        <w:t xml:space="preserve">2024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>№ 132).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Для оказания Услуг по комплексно-технической эксплуатации Программно</w:t>
        <w:softHyphen/>
        <w:t xml:space="preserve">аппаратного комплекса информационной безопасности (ПАК ИБ) Исполнитель должен включить в состав рабочих групп ИТ службы (пункт </w:t>
      </w:r>
      <w:r>
        <w:rPr>
          <w:rStyle w:val="CharStyle12"/>
          <w:lang w:val="en-US" w:eastAsia="en-US"/>
        </w:rPr>
        <w:t xml:space="preserve">№5.1) </w:t>
      </w:r>
      <w:r>
        <w:rPr>
          <w:rStyle w:val="CharStyle12"/>
        </w:rPr>
        <w:t xml:space="preserve">специалистов имеющих сертификаты о прохождении обучения по работе со средствами криптографической защиты производства АО «ИнфоТеКС» в рекомендуемом минимальном составе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(двух) человек.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Для оказания Услуг по комплексно-технической эксплуатации серверного оборудования Исполнитель должен включить в состав рабочих групп ИТ службы (пункт </w:t>
      </w:r>
      <w:r>
        <w:rPr>
          <w:rStyle w:val="CharStyle12"/>
          <w:lang w:val="en-US" w:eastAsia="en-US"/>
        </w:rPr>
        <w:t xml:space="preserve">№5.1) </w:t>
      </w:r>
      <w:r>
        <w:rPr>
          <w:rStyle w:val="CharStyle12"/>
        </w:rPr>
        <w:t xml:space="preserve">специалистов, имеющих сертификаты о прохождении обучения по работе с платформой виртуализации «Горизонт-ВС»1 в рекомендуемом минимальном составе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(двух) человек».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пояснил, что возможность разделения обслуживания информационных систем и компонентов информационно-телекоммуникационной инфраструктуры не представляется возможной, так как в рамках процедуры закупаются услуги по обслуживанию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единой системы, компоненты которой неразрывно связаны (в том числе функционально и технологически) между собой.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Также представитель Заказчика отметил, что в описании объекта закупки предоставлена достаточная информация об объёме исполнения контракта. В разъяснении положений Извещения об осуществлении закупки Заказчиком дополнительно указано, что помещений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категории, для доступа в которые требуется лицензия на проведение работ, связанных с использованием сведений составляющих государственную тайну в соответствии с положениями ст.27 Закона РФ от </w:t>
      </w:r>
      <w:r>
        <w:rPr>
          <w:rStyle w:val="CharStyle12"/>
          <w:lang w:val="en-US" w:eastAsia="en-US"/>
        </w:rPr>
        <w:t xml:space="preserve">21.07.1993 №5485-1 </w:t>
      </w:r>
      <w:r>
        <w:rPr>
          <w:rStyle w:val="CharStyle12"/>
        </w:rPr>
        <w:t xml:space="preserve">«О государственной тайне» </w:t>
      </w:r>
      <w:r>
        <w:rPr>
          <w:rStyle w:val="CharStyle12"/>
          <w:lang w:val="en-US" w:eastAsia="en-US"/>
        </w:rPr>
        <w:t xml:space="preserve">– 20 </w:t>
      </w:r>
      <w:r>
        <w:rPr>
          <w:rStyle w:val="CharStyle12"/>
        </w:rPr>
        <w:t xml:space="preserve">помещений, Залы закрытой видео-конференц-связи ФСО России </w:t>
      </w:r>
      <w:r>
        <w:rPr>
          <w:rStyle w:val="CharStyle12"/>
          <w:lang w:val="en-US" w:eastAsia="en-US"/>
        </w:rPr>
        <w:t xml:space="preserve">- 2 </w:t>
      </w:r>
      <w:r>
        <w:rPr>
          <w:rStyle w:val="CharStyle12"/>
        </w:rPr>
        <w:t>зала, при этом все помещения являются режимными.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Вместе с этим в описании объекта закупки не указан перечень сведений составляющих государственную тайну, которые государственный заказчик обязан передать (или фактически передаст) исполнителю в связи с тем, что целенаправленная передача сведений, составляющих государственную тайну исполнителю не предполагается и не является предметом контракта, исполнитель ввиду сути работ получит доступ к сведения, составляющие государственную тайну, например, в ходе технического сопровождения закрытого (секретного) сеанса связи по системе ЗВКС, при этом перечень сведений, который может быть получен исполнителем указанным способом определить на этапе проведения закупки не представляется возможным.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Относительно доводов жалобы об установлении требований к специалистам представитель Заказчика отметил, что в описании объекта закупки установлено именно рекомендуемое минимальное количество специалистов, что однозначно следует из оспариваемых требований, кроме того, ИТ-инфраструктура Минстроя России обеспечивает функционирование государственной информационной системы, обеспечивающей оказание государственных услуг Минстроя России, в частности, услуг по выдаче разрешений на строительство со сроком оказания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дней, ввиду чего сбой в работе инфраструктуры на срок даже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дня приведет к нарушению сроков выдачи соответствующих разрешений, при этом отсутствие сертификатов обучения несет значительные риски в превышении сроков необходимых на восстановление ИТ-инфраструктуры в случае сбоя.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Более того, представитель Заказчика отметил, что требование о наличии сертификатов не влияет на допуск участников закупки или осуществления оценки заявок на участие в закупке, предназначено для повышения качества оказания услуг, при этом сертификаты могут быть получены участником закупки во время подачи заявки или при заключении государственного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Комиссия Управления отмечает, что основной задачей законодательства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производственные мощности при планировании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Вместе с этим в составе жалобы Заявителем, а также на заседании Комиссии представителями Заявителя, не представлено документов свидетельствующих о невозможности подачи заявки на участие в конкурентной процедуре, об ограничении количества участников закупки, при установлении оспариваемых условий оказания услуг, равно как не представлено доказательств того обстоятельства, что разделение работ, являющиеся объектом закупки представляется возможным с учетом специфики деятельности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Помимо этого Заявителем не представлено сведений, подтверждающих, что отсутствие в описании объекта закупки информации, указанной в доводах жалобы ограничивает количество участников закупки, не позволяет сформировать заявку на участие в закупке, а данная информация подлежит включению в описание объекта закупки в силу действующего законодательства.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Также на заседании Комиссии Управления не представлено сведений указывающих, что Заказчиком в составе описании объекта закупки установлены неисполнимые условия оказания услуг, нет документального подтверждения указывающего на то, что оспариваемые требования влекут за собой ограничения количества участников закупки, не соотносится с закупаемыми работами (услугами).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Кроме того, как установлено Комиссией Управления, в описании объекта закупки указано лишь рекомендованное количество необходимых специалистов.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Таким образом, Заявителем не представлено документов и сведений подтверждающих обоснованность вышеуказанных доводов жалобы, в том числе в части невозможности подготовить заявку на участие в закупочной процедуре, а также свидетельствующих о нарушении Заказчиком норм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Исходя из вышеизложенного у Комиссии Управления отсутствуют правовые основания для признания Заказчика нарушившим положения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Управления,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Признать жалобу ООО «Телематика» на действия ФКУ «Объединенная дирекция» Минстроя России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300"/>
        <w:ind w:left="0" w:right="0" w:firstLine="700"/>
        <w:jc w:val="both"/>
      </w:pPr>
      <w:r>
        <w:rPr>
          <w:rStyle w:val="CharStyle12"/>
        </w:rPr>
        <w:t>Снять ограничения, наложенные на определение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46" w:right="538" w:bottom="979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170180" distL="0" distR="0" simplePos="0" relativeHeight="125829384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342900</wp:posOffset>
                </wp:positionV>
                <wp:extent cx="1896110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7.850000000000001pt;margin-top:27.pt;width:149.30000000000001pt;height:19.699999999999999pt;z-index:-125829369;mso-wrap-distance-left:0;mso-wrap-distance-top:27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4190" distB="0" distL="0" distR="0" simplePos="0" relativeHeight="125829386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504190</wp:posOffset>
                </wp:positionV>
                <wp:extent cx="1722120" cy="25908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44999999999999pt;margin-top:39.700000000000003pt;width:135.59999999999999pt;height:20.400000000000002pt;z-index:-125829367;mso-wrap-distance-left:0;mso-wrap-distance-top:39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170180" distL="0" distR="0" simplePos="0" relativeHeight="125829388" behindDoc="0" locked="0" layoutInCell="1" allowOverlap="1">
                <wp:simplePos x="0" y="0"/>
                <wp:positionH relativeFrom="page">
                  <wp:posOffset>6077585</wp:posOffset>
                </wp:positionH>
                <wp:positionV relativeFrom="paragraph">
                  <wp:posOffset>342900</wp:posOffset>
                </wp:positionV>
                <wp:extent cx="113665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8.55000000000001pt;margin-top:27.pt;width:89.5pt;height:19.699999999999999pt;z-index:-125829365;mso-wrap-distance-left:0;mso-wrap-distance-top:27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5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Грешнева Дарья Сергеевна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  <w:color w:val="292929"/>
        </w:rPr>
        <w:t xml:space="preserve">Сертификат № </w:t>
      </w:r>
      <w:r>
        <w:rPr>
          <w:rStyle w:val="CharStyle21"/>
          <w:color w:val="5D5D5D"/>
        </w:rPr>
        <w:t>00831</w:t>
      </w:r>
      <w:r>
        <w:rPr>
          <w:rStyle w:val="CharStyle21"/>
          <w:lang w:val="en-US" w:eastAsia="en-US"/>
        </w:rPr>
        <w:t>B7545C61281C4BAB156778A683BFB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1"/>
        </w:rPr>
        <w:t xml:space="preserve">Действителен с </w:t>
      </w:r>
      <w:r>
        <w:rPr>
          <w:rStyle w:val="CharStyle21"/>
          <w:color w:val="292929"/>
        </w:rPr>
        <w:t xml:space="preserve">17.07.2025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31035" simplePos="0" relativeHeight="125829390" behindDoc="0" locked="0" layoutInCell="1" allowOverlap="1">
            <wp:simplePos x="0" y="0"/>
            <wp:positionH relativeFrom="page">
              <wp:posOffset>3133725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44999999999999pt;margin-top:11.8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1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5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Матюшенко Александр Александрович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4F595A5C3E5ABB2DD77161F08559FC07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21"/>
        </w:rPr>
        <w:t xml:space="preserve">Действителен с 22.07.2025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620"/>
        <w:jc w:val="left"/>
      </w:pPr>
      <w:r>
        <w:drawing>
          <wp:anchor distT="0" distB="0" distL="114300" distR="1931035" simplePos="0" relativeHeight="125829391" behindDoc="0" locked="0" layoutInCell="1" allowOverlap="1">
            <wp:simplePos x="0" y="0"/>
            <wp:positionH relativeFrom="page">
              <wp:posOffset>3133725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44999999999999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Гелмутдинова</w:t>
      </w:r>
    </w:p>
    <w:p>
      <w:pPr>
        <w:pStyle w:val="Style1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5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ГЕЛМУТДИНОВА АНАСТАСИЯ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</w:rPr>
        <w:t>723501СС21703599976371</w:t>
      </w:r>
      <w:r>
        <w:rPr>
          <w:rStyle w:val="CharStyle21"/>
          <w:lang w:val="en-US" w:eastAsia="en-US"/>
        </w:rPr>
        <w:t>4F5C652689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440"/>
        <w:ind w:right="0" w:firstLine="0"/>
        <w:jc w:val="left"/>
      </w:pPr>
      <w:r>
        <w:rPr>
          <w:rStyle w:val="CharStyle21"/>
        </w:rPr>
        <w:t xml:space="preserve">Действителен с 09.02.2026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05.05.2027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24" w:right="532" w:bottom="172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9887585</wp:posOffset>
              </wp:positionV>
              <wp:extent cx="72517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2026-25194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99999999999999pt;margin-top:778.55000000000007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2026-25194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10501630</wp:posOffset>
              </wp:positionV>
              <wp:extent cx="73787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2026-25194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649999999999999pt;margin-top:826.89999999999998pt;width:58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2026-25194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3883660</wp:posOffset>
              </wp:positionH>
              <wp:positionV relativeFrom="page">
                <wp:posOffset>545465</wp:posOffset>
              </wp:positionV>
              <wp:extent cx="13716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716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5.80000000000001pt;margin-top:42.950000000000003pt;width:10.8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Body text (4)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Body text (4)"/>
    <w:basedOn w:val="Normal"/>
    <w:link w:val="CharStyle15"/>
    <w:pPr>
      <w:widowControl w:val="0"/>
      <w:shd w:val="clear" w:color="auto" w:fill="auto"/>
      <w:spacing w:after="50"/>
      <w:ind w:left="2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