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left"/>
      </w:pPr>
      <w:bookmarkStart w:id="0" w:name="bookmark0"/>
      <w:r>
        <w:rPr>
          <w:rStyle w:val="CharStyle11"/>
          <w:u w:val="none"/>
        </w:rPr>
        <w:t>2</w:t>
      </w:r>
      <w:r>
        <w:fldChar w:fldCharType="begin"/>
      </w:r>
      <w:r>
        <w:rPr/>
        <w:instrText> HYPERLINK "file://f207ca94-a13c-4ba0-b72d-f018c9eed8f1/" </w:instrText>
      </w:r>
      <w:r>
        <w:fldChar w:fldCharType="separate"/>
      </w:r>
      <w:r>
        <w:rPr>
          <w:rStyle w:val="CharStyle11"/>
          <w:u w:val="none"/>
        </w:rPr>
        <w:t>0.05.</w:t>
      </w:r>
      <w:r>
        <w:rPr>
          <w:rStyle w:val="CharStyle11"/>
        </w:rPr>
        <w:t>2026</w:t>
      </w:r>
      <w:r>
        <w:rPr>
          <w:rStyle w:val="CharStyle11"/>
          <w:u w:val="none"/>
        </w:rPr>
        <w:tab/>
      </w:r>
      <w:r>
        <w:fldChar w:fldCharType="end"/>
      </w:r>
      <w:r>
        <w:rPr>
          <w:rStyle w:val="CharStyle11"/>
          <w:u w:val="none"/>
        </w:rPr>
        <w:t>№ Н</w:t>
      </w:r>
      <w:r>
        <w:rPr>
          <w:rStyle w:val="CharStyle11"/>
        </w:rPr>
        <w:t>Г/3399/26</w:t>
      </w:r>
      <w:bookmarkEnd w:id="0"/>
    </w:p>
    <w:p>
      <w:pPr>
        <w:pStyle w:val="Style13"/>
        <w:keepNext w:val="0"/>
        <w:keepLines w:val="0"/>
        <w:widowControl w:val="0"/>
        <w:shd w:val="clear" w:color="auto" w:fill="auto"/>
        <w:bidi w:val="0"/>
        <w:spacing w:before="0" w:after="580" w:line="240" w:lineRule="auto"/>
        <w:ind w:left="0" w:right="0" w:firstLine="0"/>
        <w:jc w:val="left"/>
      </w:pPr>
      <w:r>
        <w:rPr>
          <w:rStyle w:val="CharStyle14"/>
          <w:color w:val="47619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w:t>
      </w:r>
    </w:p>
    <w:p>
      <w:pPr>
        <w:pStyle w:val="Style2"/>
        <w:keepNext w:val="0"/>
        <w:keepLines w:val="0"/>
        <w:widowControl w:val="0"/>
        <w:shd w:val="clear" w:color="auto" w:fill="auto"/>
        <w:bidi w:val="0"/>
        <w:spacing w:before="0" w:after="0" w:line="288" w:lineRule="auto"/>
        <w:ind w:left="1180" w:right="0" w:firstLine="0"/>
        <w:jc w:val="left"/>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line="288" w:lineRule="auto"/>
        <w:ind w:left="380" w:right="200" w:firstLine="0"/>
        <w:jc w:val="righ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ind w:left="380" w:right="200" w:firstLine="0"/>
        <w:jc w:val="righ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ind w:left="1840" w:right="0" w:firstLine="0"/>
        <w:jc w:val="left"/>
      </w:pPr>
      <w:r>
        <w:rPr>
          <w:rStyle w:val="CharStyle9"/>
          <w:b/>
          <w:bCs/>
        </w:rPr>
        <w:t>ВЕСЬКОДЛАШН</w:t>
      </w:r>
    </w:p>
    <w:p>
      <w:pPr>
        <w:pStyle w:val="Style2"/>
        <w:keepNext w:val="0"/>
        <w:keepLines w:val="0"/>
        <w:widowControl w:val="0"/>
        <w:shd w:val="clear" w:color="auto" w:fill="auto"/>
        <w:bidi w:val="0"/>
        <w:spacing w:before="0" w:after="34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3"/>
        <w:keepNext w:val="0"/>
        <w:keepLines w:val="0"/>
        <w:widowControl w:val="0"/>
        <w:shd w:val="clear" w:color="auto" w:fill="auto"/>
        <w:bidi w:val="0"/>
        <w:spacing w:before="0" w:after="260" w:line="240" w:lineRule="auto"/>
        <w:ind w:left="0" w:right="0" w:firstLine="0"/>
        <w:jc w:val="left"/>
      </w:pPr>
      <w:r>
        <w:rPr>
          <w:rStyle w:val="CharStyle14"/>
        </w:rPr>
        <w:t>посредством Единой информационной системы в сфере закупок</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1438" w:bottom="1183" w:left="1106" w:header="0" w:footer="3" w:gutter="0"/>
          <w:pgNumType w:start="1"/>
          <w:cols w:num="2" w:space="648"/>
          <w:noEndnote/>
          <w:titlePg/>
          <w:rtlGutter w:val="0"/>
          <w:docGrid w:linePitch="360"/>
        </w:sectPr>
      </w:pPr>
      <w:r>
        <w:rPr>
          <w:rStyle w:val="CharStyle14"/>
        </w:rPr>
        <w:t>Акционерное общество «ВИП ЛАБ»</w:t>
      </w: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казенное учреждение Республики Коми «Центр обеспечения организации и проведения торгов»</w:t>
      </w: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бюджетное учреждение республики коми «Служба единого заказчика Республики Коми»</w:t>
      </w:r>
    </w:p>
    <w:p>
      <w:pPr>
        <w:pStyle w:val="Style13"/>
        <w:keepNext w:val="0"/>
        <w:keepLines w:val="0"/>
        <w:widowControl w:val="0"/>
        <w:shd w:val="clear" w:color="auto" w:fill="auto"/>
        <w:bidi w:val="0"/>
        <w:spacing w:before="0" w:after="340" w:line="259" w:lineRule="auto"/>
        <w:ind w:left="5020" w:right="0" w:firstLine="0"/>
        <w:jc w:val="left"/>
      </w:pPr>
      <w:r>
        <w:rPr>
          <w:rStyle w:val="CharStyle14"/>
        </w:rPr>
        <w:t>Общество с ограниченной ответственностью «РТС-тендер»</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РЕШЕНИЕ</w:t>
        <w:br/>
        <w:t xml:space="preserve">по жалобе </w:t>
      </w:r>
      <w:r>
        <w:rPr>
          <w:rStyle w:val="CharStyle14"/>
          <w:b/>
          <w:bCs/>
          <w:lang w:val="en-US" w:eastAsia="en-US"/>
        </w:rPr>
        <w:t>№ 011/06/105-524/2026</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6231255</wp:posOffset>
                </wp:positionH>
                <wp:positionV relativeFrom="paragraph">
                  <wp:posOffset>12700</wp:posOffset>
                </wp:positionV>
                <wp:extent cx="953770" cy="234950"/>
                <wp:wrapSquare wrapText="left"/>
                <wp:docPr id="9" name="Shape 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wps:txbx>
                      <wps:bodyPr wrap="none" lIns="0" tIns="0" rIns="0" bIns="0">
                        <a:noAutoFit/>
                      </wps:bodyPr>
                    </wps:wsp>
                  </a:graphicData>
                </a:graphic>
              </wp:anchor>
            </w:drawing>
          </mc:Choice>
          <mc:Fallback>
            <w:pict>
              <v:shape id="_x0000_s1035" type="#_x0000_t202" style="position:absolute;margin-left:490.65000000000003pt;margin-top:1.pt;width:75.100000000000009pt;height:18.5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v:textbox>
                <w10:wrap type="square" side="left" anchorx="page"/>
              </v:shape>
            </w:pict>
          </mc:Fallback>
        </mc:AlternateContent>
      </w:r>
      <w:r>
        <w:rPr>
          <w:rStyle w:val="CharStyle14"/>
          <w:lang w:val="en-US" w:eastAsia="en-US"/>
        </w:rPr>
        <w:t xml:space="preserve">18 </w:t>
      </w:r>
      <w:r>
        <w:rPr>
          <w:rStyle w:val="CharStyle14"/>
        </w:rPr>
        <w:t xml:space="preserve">мая </w:t>
      </w:r>
      <w:r>
        <w:rPr>
          <w:rStyle w:val="CharStyle14"/>
          <w:lang w:val="en-US" w:eastAsia="en-US"/>
        </w:rPr>
        <w:t xml:space="preserve">2026 </w:t>
      </w:r>
      <w:r>
        <w:rPr>
          <w:rStyle w:val="CharStyle14"/>
        </w:rPr>
        <w:t>года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14"/>
          <w:lang w:val="en-US" w:eastAsia="en-US"/>
        </w:rPr>
        <w:t xml:space="preserve">- </w:t>
      </w:r>
      <w:r>
        <w:rPr>
          <w:rStyle w:val="CharStyle14"/>
        </w:rPr>
        <w:t xml:space="preserve">руководителя управления, председателя Комиссии; Овериной А.В. </w:t>
      </w:r>
      <w:r>
        <w:rPr>
          <w:rStyle w:val="CharStyle14"/>
          <w:lang w:val="en-US" w:eastAsia="en-US"/>
        </w:rPr>
        <w:t xml:space="preserve">- </w:t>
      </w:r>
      <w:r>
        <w:rPr>
          <w:rStyle w:val="CharStyle14"/>
        </w:rPr>
        <w:t xml:space="preserve">главного специалиста-эксперта управления, члена комиссии; Мокиенко А.А. </w:t>
      </w:r>
      <w:r>
        <w:rPr>
          <w:rStyle w:val="CharStyle14"/>
          <w:lang w:val="en-US" w:eastAsia="en-US"/>
        </w:rPr>
        <w:t xml:space="preserve">- </w:t>
      </w:r>
      <w:r>
        <w:rPr>
          <w:rStyle w:val="CharStyle14"/>
        </w:rPr>
        <w:t xml:space="preserve">специалиста </w:t>
      </w:r>
      <w:r>
        <w:rPr>
          <w:rStyle w:val="CharStyle14"/>
          <w:lang w:val="en-US" w:eastAsia="en-US"/>
        </w:rPr>
        <w:t xml:space="preserve">- </w:t>
      </w:r>
      <w:r>
        <w:rPr>
          <w:rStyle w:val="CharStyle14"/>
        </w:rPr>
        <w:t xml:space="preserve">эксперта управления, члена Комиссии (далее </w:t>
      </w:r>
      <w:r>
        <w:rPr>
          <w:rStyle w:val="CharStyle14"/>
          <w:lang w:val="en-US" w:eastAsia="en-US"/>
        </w:rPr>
        <w:t xml:space="preserve">- </w:t>
      </w:r>
      <w:r>
        <w:rPr>
          <w:rStyle w:val="CharStyle14"/>
        </w:rPr>
        <w:t xml:space="preserve">Комиссия Коми УФАС России), рассмотрев жалобу акционерного общества «ВИП ЛАБ» (далее </w:t>
      </w:r>
      <w:r>
        <w:rPr>
          <w:rStyle w:val="CharStyle14"/>
          <w:lang w:val="en-US" w:eastAsia="en-US"/>
        </w:rPr>
        <w:t xml:space="preserve">- </w:t>
      </w:r>
      <w:r>
        <w:rPr>
          <w:rStyle w:val="CharStyle14"/>
        </w:rPr>
        <w:t xml:space="preserve">АО «ВИП ЛАБ») от </w:t>
      </w:r>
      <w:r>
        <w:rPr>
          <w:rStyle w:val="CharStyle14"/>
          <w:lang w:val="en-US" w:eastAsia="en-US"/>
        </w:rPr>
        <w:t xml:space="preserve">08.05.2026 </w:t>
      </w:r>
      <w:r>
        <w:rPr>
          <w:rStyle w:val="CharStyle14"/>
        </w:rPr>
        <w:t xml:space="preserve">(вх. от </w:t>
      </w:r>
      <w:r>
        <w:rPr>
          <w:rStyle w:val="CharStyle14"/>
          <w:lang w:val="en-US" w:eastAsia="en-US"/>
        </w:rPr>
        <w:t xml:space="preserve">12.05.2026 № 4955/26) </w:t>
      </w:r>
      <w:r>
        <w:rPr>
          <w:rStyle w:val="CharStyle14"/>
        </w:rPr>
        <w:t xml:space="preserve">на действия комиссии уполномоченного учреждения </w:t>
      </w:r>
      <w:r>
        <w:rPr>
          <w:rStyle w:val="CharStyle14"/>
          <w:lang w:val="en-US" w:eastAsia="en-US"/>
        </w:rPr>
        <w:t xml:space="preserve">- </w:t>
      </w:r>
      <w:r>
        <w:rPr>
          <w:rStyle w:val="CharStyle14"/>
        </w:rPr>
        <w:t xml:space="preserve">государственного казенного учреждения Республики Коми «Центр обеспечения организации и проведения торгов» (далее </w:t>
      </w:r>
      <w:r>
        <w:rPr>
          <w:rStyle w:val="CharStyle14"/>
          <w:lang w:val="en-US" w:eastAsia="en-US"/>
        </w:rPr>
        <w:t xml:space="preserve">- </w:t>
      </w:r>
      <w:r>
        <w:rPr>
          <w:rStyle w:val="CharStyle14"/>
        </w:rPr>
        <w:t xml:space="preserve">ГКУ РК «ЦООиПТ») при рассмотрении заявок на участие в закупке путем проведения запроса котировок в электронной форме «Поставка баканализатора автоматического на объект капитального строительства «Республиканская инфекционная больница в г. Сыктывкаре </w:t>
      </w:r>
      <w:r>
        <w:rPr>
          <w:rStyle w:val="CharStyle14"/>
          <w:lang w:val="en-US" w:eastAsia="en-US"/>
        </w:rPr>
        <w:t xml:space="preserve">(I </w:t>
      </w:r>
      <w:r>
        <w:rPr>
          <w:rStyle w:val="CharStyle14"/>
        </w:rPr>
        <w:t xml:space="preserve">этап)», извещение </w:t>
      </w:r>
      <w:r>
        <w:rPr>
          <w:rStyle w:val="CharStyle14"/>
          <w:lang w:val="en-US" w:eastAsia="en-US"/>
        </w:rPr>
        <w:t>№ 0307200030626000886,</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участии в заседании:</w:t>
      </w:r>
    </w:p>
    <w:p>
      <w:pPr>
        <w:pStyle w:val="Style13"/>
        <w:keepNext w:val="0"/>
        <w:keepLines w:val="0"/>
        <w:widowControl w:val="0"/>
        <w:shd w:val="clear" w:color="auto" w:fill="auto"/>
        <w:bidi w:val="0"/>
        <w:spacing w:before="0" w:after="540" w:line="240" w:lineRule="auto"/>
        <w:ind w:left="0" w:right="0" w:firstLine="700"/>
        <w:jc w:val="both"/>
      </w:pPr>
      <w:r>
        <w:rPr>
          <w:rStyle w:val="CharStyle14"/>
        </w:rPr>
        <w:t xml:space="preserve">-Расскосовой Е.Н., Матросовой Ю.А., представителей АО «ВИП ЛАБ» по доверенности от </w:t>
      </w:r>
      <w:r>
        <w:rPr>
          <w:rStyle w:val="CharStyle14"/>
          <w:lang w:val="en-US" w:eastAsia="en-US"/>
        </w:rPr>
        <w:t xml:space="preserve">13.05.2026 № 21 </w:t>
      </w:r>
      <w:r>
        <w:rPr>
          <w:rStyle w:val="CharStyle14"/>
        </w:rPr>
        <w:t>(посредством веб-видео-конференции),</w:t>
      </w:r>
    </w:p>
    <w:p>
      <w:pPr>
        <w:pStyle w:val="Style17"/>
        <w:keepNext/>
        <w:keepLines/>
        <w:widowControl w:val="0"/>
        <w:shd w:val="clear" w:color="auto" w:fill="auto"/>
        <w:bidi w:val="0"/>
        <w:spacing w:before="0" w:line="240" w:lineRule="auto"/>
        <w:ind w:left="0" w:right="0" w:firstLine="0"/>
        <w:jc w:val="left"/>
      </w:pPr>
      <w:bookmarkStart w:id="2" w:name="bookmark2"/>
      <w:r>
        <w:rPr>
          <w:rStyle w:val="CharStyle18"/>
        </w:rPr>
        <w:t>1IIIIIIIIIIIIIIIIIIIIIII</w:t>
      </w:r>
      <w:bookmarkEnd w:id="2"/>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-Панеевой И.С., представителя государственного бюджетного учреждения Республики Коми «Служба единого заказчика Республики Коми» (далее </w:t>
      </w:r>
      <w:r>
        <w:rPr>
          <w:rStyle w:val="CharStyle14"/>
          <w:lang w:val="en-US" w:eastAsia="en-US"/>
        </w:rPr>
        <w:t xml:space="preserve">- </w:t>
      </w:r>
      <w:r>
        <w:rPr>
          <w:rStyle w:val="CharStyle14"/>
        </w:rPr>
        <w:t xml:space="preserve">ГБУ РК «Служба единого заказчика Республики Коми») по доверенности от </w:t>
      </w:r>
      <w:r>
        <w:rPr>
          <w:rStyle w:val="CharStyle14"/>
          <w:lang w:val="en-US" w:eastAsia="en-US"/>
        </w:rPr>
        <w:t>14.01.2026 № 7,</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-Попова Н.В., Якимовой Ю.А., представителей ГКУ РК «ЦООиПТ» по доверенностям от </w:t>
      </w:r>
      <w:r>
        <w:rPr>
          <w:rStyle w:val="CharStyle14"/>
          <w:lang w:val="en-US" w:eastAsia="en-US"/>
        </w:rPr>
        <w:t xml:space="preserve">19.01.2026 № 7, </w:t>
      </w:r>
      <w:r>
        <w:rPr>
          <w:rStyle w:val="CharStyle14"/>
        </w:rPr>
        <w:t xml:space="preserve">от </w:t>
      </w:r>
      <w:r>
        <w:rPr>
          <w:rStyle w:val="CharStyle14"/>
          <w:lang w:val="en-US" w:eastAsia="en-US"/>
        </w:rPr>
        <w:t>14.01.2026 № 4,</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Управление Федеральной антимонопольной службы по Республике Коми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14"/>
          <w:lang w:val="en-US" w:eastAsia="en-US"/>
        </w:rPr>
        <w:t>http://zakupki.gov.ru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поступила жалоба АО «ВИП ЛАБ» от </w:t>
      </w:r>
      <w:r>
        <w:rPr>
          <w:rStyle w:val="CharStyle14"/>
          <w:lang w:val="en-US" w:eastAsia="en-US"/>
        </w:rPr>
        <w:t xml:space="preserve">08.05.2026 </w:t>
      </w:r>
      <w:r>
        <w:rPr>
          <w:rStyle w:val="CharStyle14"/>
        </w:rPr>
        <w:t xml:space="preserve">(вх. от </w:t>
      </w:r>
      <w:r>
        <w:rPr>
          <w:rStyle w:val="CharStyle14"/>
          <w:lang w:val="en-US" w:eastAsia="en-US"/>
        </w:rPr>
        <w:t xml:space="preserve">12.05.2026 № 4955/26) </w:t>
      </w:r>
      <w:r>
        <w:rPr>
          <w:rStyle w:val="CharStyle14"/>
        </w:rPr>
        <w:t xml:space="preserve">на действия комиссии уполномоченного учреждения </w:t>
      </w:r>
      <w:r>
        <w:rPr>
          <w:rStyle w:val="CharStyle14"/>
          <w:lang w:val="en-US" w:eastAsia="en-US"/>
        </w:rPr>
        <w:t xml:space="preserve">- </w:t>
      </w:r>
      <w:r>
        <w:rPr>
          <w:rStyle w:val="CharStyle14"/>
        </w:rPr>
        <w:t xml:space="preserve">ГКУ РК «ЦООиПТ» при рассмотрении заявок на участие в закупке путем проведения запроса котировок в электронной форме «Поставка баканализатора автоматического на объект капитального строительства «Республиканская инфекционная больница в г. Сыктывкаре </w:t>
      </w:r>
      <w:r>
        <w:rPr>
          <w:rStyle w:val="CharStyle14"/>
          <w:lang w:val="en-US" w:eastAsia="en-US"/>
        </w:rPr>
        <w:t xml:space="preserve">(I </w:t>
      </w:r>
      <w:r>
        <w:rPr>
          <w:rStyle w:val="CharStyle14"/>
        </w:rPr>
        <w:t xml:space="preserve">этап)», извещение </w:t>
      </w:r>
      <w:r>
        <w:rPr>
          <w:rStyle w:val="CharStyle14"/>
          <w:lang w:val="en-US" w:eastAsia="en-US"/>
        </w:rPr>
        <w:t xml:space="preserve">№ 0307200030626000886 </w:t>
      </w:r>
      <w:r>
        <w:rPr>
          <w:rStyle w:val="CharStyle14"/>
        </w:rPr>
        <w:t xml:space="preserve">(далее </w:t>
      </w:r>
      <w:r>
        <w:rPr>
          <w:rStyle w:val="CharStyle14"/>
          <w:lang w:val="en-US" w:eastAsia="en-US"/>
        </w:rPr>
        <w:t xml:space="preserve">- </w:t>
      </w:r>
      <w:r>
        <w:rPr>
          <w:rStyle w:val="CharStyle14"/>
        </w:rPr>
        <w:t>жалоба, закупка).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Жалоба на действия комиссии по закупке подготовлена в соответствии с требованиями статьи </w:t>
      </w:r>
      <w:r>
        <w:rPr>
          <w:rStyle w:val="CharStyle14"/>
          <w:lang w:val="en-US" w:eastAsia="en-US"/>
        </w:rPr>
        <w:t xml:space="preserve">105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и подана в срок, установленный пунктом </w:t>
      </w:r>
      <w:r>
        <w:rPr>
          <w:rStyle w:val="CharStyle14"/>
          <w:lang w:val="en-US" w:eastAsia="en-US"/>
        </w:rPr>
        <w:t xml:space="preserve">2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105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связи с чем жалоба принята Коми УФАС России к рассмотрению.</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2 </w:t>
      </w:r>
      <w:r>
        <w:rPr>
          <w:rStyle w:val="CharStyle14"/>
        </w:rPr>
        <w:t xml:space="preserve">статьи </w:t>
      </w:r>
      <w:r>
        <w:rPr>
          <w:rStyle w:val="CharStyle14"/>
          <w:lang w:val="en-US" w:eastAsia="en-US"/>
        </w:rPr>
        <w:t xml:space="preserve">106 </w:t>
      </w:r>
      <w:r>
        <w:rPr>
          <w:rStyle w:val="CharStyle14"/>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участвовать в рассмотрении жалобы, в том числе, с использованием систем видео-конференц-связи.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АО «ВИП ЛАБ», ГБУ РК «Служба единого заказчика Республики Коми», ГКУ РК «ЦООиПТ», общество с ограниченной ответственностью «РТС-тендер» (оператор электронной площадки), надлежащим образом о месте, дате и времени, формате (видео- веб-конференция) извещены.</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по существу.</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АО «ВИП ЛАБ» обжаловано действие комиссии уполномоченного учреждения </w:t>
      </w:r>
      <w:r>
        <w:rPr>
          <w:rStyle w:val="CharStyle14"/>
          <w:lang w:val="en-US" w:eastAsia="en-US"/>
        </w:rPr>
        <w:t xml:space="preserve">- </w:t>
      </w:r>
      <w:r>
        <w:rPr>
          <w:rStyle w:val="CharStyle14"/>
        </w:rPr>
        <w:t xml:space="preserve">ГКУ РК «ЦООиПТ» при рассмотрении заявок на участие в закупке, в части принятия решения относительно отклонения заявки заявителя, оформленное в протоколе подведения итогов определения поставщика (подрядчика, исполнителя) от </w:t>
      </w:r>
      <w:r>
        <w:rPr>
          <w:rStyle w:val="CharStyle14"/>
          <w:lang w:val="en-US" w:eastAsia="en-US"/>
        </w:rPr>
        <w:t xml:space="preserve">08.05.2026 № </w:t>
      </w:r>
      <w:r>
        <w:rPr>
          <w:rStyle w:val="CharStyle14"/>
        </w:rPr>
        <w:t>ИЗК1.</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АО «ВИП ЛАБ» в письме вх. от </w:t>
      </w:r>
      <w:r>
        <w:rPr>
          <w:rStyle w:val="CharStyle14"/>
          <w:lang w:val="en-US" w:eastAsia="en-US"/>
        </w:rPr>
        <w:t xml:space="preserve">13.05.2026 № </w:t>
      </w:r>
      <w:r>
        <w:rPr>
          <w:rStyle w:val="CharStyle14"/>
        </w:rPr>
        <w:t>5080-ЭП/26 представлены дополнительные пояснения к жалобе, с приложением копий документов в обоснование своей позиции, а также приведен довод, что установленным требованиям закупки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соответствует исключительно один прибор </w:t>
      </w:r>
      <w:r>
        <w:rPr>
          <w:rStyle w:val="CharStyle14"/>
          <w:lang w:val="en-US" w:eastAsia="en-US"/>
        </w:rPr>
        <w:t xml:space="preserve">- </w:t>
      </w:r>
      <w:r>
        <w:rPr>
          <w:rStyle w:val="CharStyle14"/>
        </w:rPr>
        <w:t xml:space="preserve">«Анализатор бактериологический автоматический юнона® </w:t>
      </w:r>
      <w:r>
        <w:rPr>
          <w:rStyle w:val="CharStyle14"/>
          <w:lang w:val="en-US" w:eastAsia="en-US"/>
        </w:rPr>
        <w:t xml:space="preserve">LABSTAR </w:t>
      </w:r>
      <w:r>
        <w:rPr>
          <w:rStyle w:val="CharStyle14"/>
        </w:rPr>
        <w:t xml:space="preserve">с принадлежностями» (РУ РЗН </w:t>
      </w:r>
      <w:r>
        <w:rPr>
          <w:rStyle w:val="CharStyle14"/>
          <w:lang w:val="en-US" w:eastAsia="en-US"/>
        </w:rPr>
        <w:t>2019/9250).</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ГБУ РК «Служба единого заказчика Республики Коми» в письме от </w:t>
      </w:r>
      <w:r>
        <w:rPr>
          <w:rStyle w:val="CharStyle14"/>
          <w:lang w:val="en-US" w:eastAsia="en-US"/>
        </w:rPr>
        <w:t>15.05.2026 № 03</w:t>
        <w:softHyphen/>
        <w:t xml:space="preserve">03/129 </w:t>
      </w:r>
      <w:r>
        <w:rPr>
          <w:rStyle w:val="CharStyle14"/>
        </w:rPr>
        <w:t xml:space="preserve">(вх. от </w:t>
      </w:r>
      <w:r>
        <w:rPr>
          <w:rStyle w:val="CharStyle14"/>
          <w:lang w:val="en-US" w:eastAsia="en-US"/>
        </w:rPr>
        <w:t xml:space="preserve">15.05.2026 № </w:t>
      </w:r>
      <w:r>
        <w:rPr>
          <w:rStyle w:val="CharStyle14"/>
        </w:rPr>
        <w:t xml:space="preserve">5169-ЭП/26), ГКУ РК «ЦООиПТ» в письме от </w:t>
      </w:r>
      <w:r>
        <w:rPr>
          <w:rStyle w:val="CharStyle14"/>
          <w:lang w:val="en-US" w:eastAsia="en-US"/>
        </w:rPr>
        <w:t>15.05.2026 № 09</w:t>
        <w:softHyphen/>
        <w:t xml:space="preserve">02/52 </w:t>
      </w:r>
      <w:r>
        <w:rPr>
          <w:rStyle w:val="CharStyle14"/>
        </w:rPr>
        <w:t xml:space="preserve">(вх. от </w:t>
      </w:r>
      <w:r>
        <w:rPr>
          <w:rStyle w:val="CharStyle14"/>
          <w:lang w:val="en-US" w:eastAsia="en-US"/>
        </w:rPr>
        <w:t xml:space="preserve">15.05.2026 № 5160/26) </w:t>
      </w:r>
      <w:r>
        <w:rPr>
          <w:rStyle w:val="CharStyle14"/>
        </w:rPr>
        <w:t>представлены возражения относительно позиции заявителя, с приложением копий документов в обоснование своей позиции.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Оператором электронной площадки письмом от </w:t>
      </w:r>
      <w:r>
        <w:rPr>
          <w:rStyle w:val="CharStyle14"/>
          <w:lang w:val="en-US" w:eastAsia="en-US"/>
        </w:rPr>
        <w:t xml:space="preserve">13.05.2026 </w:t>
      </w:r>
      <w:r>
        <w:rPr>
          <w:rStyle w:val="CharStyle14"/>
        </w:rPr>
        <w:t xml:space="preserve">(вх. от </w:t>
      </w:r>
      <w:r>
        <w:rPr>
          <w:rStyle w:val="CharStyle14"/>
          <w:lang w:val="en-US" w:eastAsia="en-US"/>
        </w:rPr>
        <w:t xml:space="preserve">13.05.2026 № 5069- </w:t>
      </w:r>
      <w:r>
        <w:rPr>
          <w:rStyle w:val="CharStyle14"/>
        </w:rPr>
        <w:t>ЭП/26) в материалы жалобы представлены заявки на участие в закупке.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Комиссия Коми УФАС России в ходе проведения внеплановой проверки осуществления закупки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изучив материалы жалобы, ознакомившись с извещением о закупке, электронными документами, содержащимися при указанном извещении, заслушав участвующих в заседании представителей сторон, пришла к нижеследующим выводам.</w:t>
      </w:r>
    </w:p>
    <w:p>
      <w:pPr>
        <w:pStyle w:val="Style13"/>
        <w:keepNext w:val="0"/>
        <w:keepLines w:val="0"/>
        <w:widowControl w:val="0"/>
        <w:numPr>
          <w:ilvl w:val="0"/>
          <w:numId w:val="1"/>
        </w:numPr>
        <w:shd w:val="clear" w:color="auto" w:fill="auto"/>
        <w:tabs>
          <w:tab w:pos="1065" w:val="left"/>
        </w:tabs>
        <w:bidi w:val="0"/>
        <w:spacing w:before="0" w:after="0" w:line="240" w:lineRule="auto"/>
        <w:ind w:left="0" w:right="0" w:firstLine="760"/>
        <w:jc w:val="both"/>
      </w:pPr>
      <w:r>
        <w:rPr>
          <w:rStyle w:val="CharStyle14"/>
        </w:rPr>
        <w:t>Заказчиком осуществления закупки явилось ГБУ РК «Служба единого заказчика Республики Коми».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Уполномоченным учреждением, наделенным в соответствии с постановлением Правительства Республики Коми от </w:t>
      </w:r>
      <w:r>
        <w:rPr>
          <w:rStyle w:val="CharStyle14"/>
          <w:lang w:val="en-US" w:eastAsia="en-US"/>
        </w:rPr>
        <w:t xml:space="preserve">04.02.2022 № 45 </w:t>
      </w:r>
      <w:r>
        <w:rPr>
          <w:rStyle w:val="CharStyle14"/>
        </w:rPr>
        <w:t>«О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явилось ГКУ РК «ЦООиПТ».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Объект закупки </w:t>
      </w:r>
      <w:r>
        <w:rPr>
          <w:rStyle w:val="CharStyle14"/>
          <w:lang w:val="en-US" w:eastAsia="en-US"/>
        </w:rPr>
        <w:t xml:space="preserve">- </w:t>
      </w:r>
      <w:r>
        <w:rPr>
          <w:rStyle w:val="CharStyle14"/>
        </w:rPr>
        <w:t xml:space="preserve">«Поставка баканализатора автоматического на объект капитального строительства «Республиканская инфекционная больница в г. Сыктывкаре </w:t>
      </w:r>
      <w:r>
        <w:rPr>
          <w:rStyle w:val="CharStyle14"/>
          <w:lang w:val="en-US" w:eastAsia="en-US"/>
        </w:rPr>
        <w:t xml:space="preserve">(I </w:t>
      </w:r>
      <w:r>
        <w:rPr>
          <w:rStyle w:val="CharStyle14"/>
        </w:rPr>
        <w:t>этап)».</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Начальная (максимальная) цена контракта составила </w:t>
      </w:r>
      <w:r>
        <w:rPr>
          <w:rStyle w:val="CharStyle14"/>
          <w:lang w:val="en-US" w:eastAsia="en-US"/>
        </w:rPr>
        <w:t xml:space="preserve">2 188 000,00 </w:t>
      </w:r>
      <w:r>
        <w:rPr>
          <w:rStyle w:val="CharStyle14"/>
        </w:rPr>
        <w:t>руб.</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проведении закупки размещено на официальном сайте ЕИС </w:t>
      </w:r>
      <w:r>
        <w:rPr>
          <w:rStyle w:val="CharStyle14"/>
          <w:lang w:val="en-US" w:eastAsia="en-US"/>
        </w:rPr>
        <w:t xml:space="preserve">27.04.2026, </w:t>
      </w:r>
      <w:r>
        <w:rPr>
          <w:rStyle w:val="CharStyle14"/>
        </w:rPr>
        <w:t xml:space="preserve">изменение извещения о проведении запроса котировок в электронной форме от </w:t>
      </w:r>
      <w:r>
        <w:rPr>
          <w:rStyle w:val="CharStyle14"/>
          <w:lang w:val="en-US" w:eastAsia="en-US"/>
        </w:rPr>
        <w:t xml:space="preserve">30.04.2026 </w:t>
      </w:r>
      <w:r>
        <w:rPr>
          <w:rStyle w:val="CharStyle14"/>
        </w:rPr>
        <w:t xml:space="preserve">№ИИ1 в ред. </w:t>
      </w:r>
      <w:r>
        <w:rPr>
          <w:rStyle w:val="CharStyle14"/>
          <w:lang w:val="en-US" w:eastAsia="en-US"/>
        </w:rPr>
        <w:t>№ 2 - 30.04.2026.</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 протоколу подведения итогов определения поставщика от </w:t>
      </w:r>
      <w:r>
        <w:rPr>
          <w:rStyle w:val="CharStyle14"/>
          <w:lang w:val="en-US" w:eastAsia="en-US"/>
        </w:rPr>
        <w:t xml:space="preserve">08.05.2026 № </w:t>
      </w:r>
      <w:r>
        <w:rPr>
          <w:rStyle w:val="CharStyle14"/>
        </w:rPr>
        <w:t xml:space="preserve">ИЗК1 по окончании срока подачи заявок подано </w:t>
      </w:r>
      <w:r>
        <w:rPr>
          <w:rStyle w:val="CharStyle14"/>
          <w:lang w:val="en-US" w:eastAsia="en-US"/>
        </w:rPr>
        <w:t xml:space="preserve">4 </w:t>
      </w:r>
      <w:r>
        <w:rPr>
          <w:rStyle w:val="CharStyle14"/>
        </w:rPr>
        <w:t xml:space="preserve">заявки на участие в закупке, </w:t>
      </w:r>
      <w:r>
        <w:rPr>
          <w:rStyle w:val="CharStyle14"/>
          <w:lang w:val="en-US" w:eastAsia="en-US"/>
        </w:rPr>
        <w:t xml:space="preserve">2 </w:t>
      </w:r>
      <w:r>
        <w:rPr>
          <w:rStyle w:val="CharStyle14"/>
        </w:rPr>
        <w:t>из них признаны соответствующими требованиям извещения о закупке, две заявки отклонены.</w:t>
      </w:r>
    </w:p>
    <w:p>
      <w:pPr>
        <w:pStyle w:val="Style13"/>
        <w:keepNext w:val="0"/>
        <w:keepLines w:val="0"/>
        <w:widowControl w:val="0"/>
        <w:numPr>
          <w:ilvl w:val="0"/>
          <w:numId w:val="1"/>
        </w:numPr>
        <w:shd w:val="clear" w:color="auto" w:fill="auto"/>
        <w:tabs>
          <w:tab w:pos="1070" w:val="left"/>
        </w:tabs>
        <w:bidi w:val="0"/>
        <w:spacing w:before="0" w:after="0" w:line="240" w:lineRule="auto"/>
        <w:ind w:left="0" w:right="0" w:firstLine="760"/>
        <w:jc w:val="both"/>
      </w:pPr>
      <w:r>
        <w:rPr>
          <w:rStyle w:val="CharStyle14"/>
        </w:rPr>
        <w:t xml:space="preserve">Согласно статье </w:t>
      </w:r>
      <w:r>
        <w:rPr>
          <w:rStyle w:val="CharStyle14"/>
          <w:lang w:val="en-US" w:eastAsia="en-US"/>
        </w:rPr>
        <w:t xml:space="preserve">8 </w:t>
      </w:r>
      <w:r>
        <w:rPr>
          <w:rStyle w:val="CharStyle14"/>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3"/>
        <w:keepNext w:val="0"/>
        <w:keepLines w:val="0"/>
        <w:widowControl w:val="0"/>
        <w:shd w:val="clear" w:color="auto" w:fill="auto"/>
        <w:bidi w:val="0"/>
        <w:spacing w:before="0" w:after="0" w:line="240" w:lineRule="auto"/>
        <w:ind w:left="0" w:right="0" w:firstLine="760"/>
        <w:jc w:val="both"/>
      </w:pPr>
      <w:r>
        <w:rPr>
          <w:rStyle w:val="CharStyle14"/>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numPr>
          <w:ilvl w:val="1"/>
          <w:numId w:val="1"/>
        </w:numPr>
        <w:shd w:val="clear" w:color="auto" w:fill="auto"/>
        <w:tabs>
          <w:tab w:pos="1310" w:val="left"/>
        </w:tabs>
        <w:bidi w:val="0"/>
        <w:spacing w:before="0" w:after="0" w:line="240" w:lineRule="auto"/>
        <w:ind w:left="0" w:right="0" w:firstLine="760"/>
        <w:jc w:val="both"/>
      </w:pPr>
      <w:r>
        <w:rPr>
          <w:rStyle w:val="CharStyle14"/>
        </w:rPr>
        <w:t xml:space="preserve">По пункту </w:t>
      </w:r>
      <w:r>
        <w:rPr>
          <w:rStyle w:val="CharStyle14"/>
          <w:lang w:val="en-US" w:eastAsia="en-US"/>
        </w:rPr>
        <w:t xml:space="preserve">14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 </w:t>
      </w:r>
      <w:r>
        <w:rPr>
          <w:rStyle w:val="CharStyle14"/>
        </w:rPr>
        <w:t>Закона о контрактной системе Единая информационная система содержит, в том числе, Каталог товаров, работ, услуг для</w:t>
      </w:r>
    </w:p>
    <w:p>
      <w:pPr>
        <w:pStyle w:val="Style13"/>
        <w:keepNext w:val="0"/>
        <w:keepLines w:val="0"/>
        <w:widowControl w:val="0"/>
        <w:shd w:val="clear" w:color="auto" w:fill="auto"/>
        <w:bidi w:val="0"/>
        <w:spacing w:before="0" w:after="0" w:line="240" w:lineRule="auto"/>
        <w:ind w:left="0" w:right="0" w:firstLine="0"/>
        <w:jc w:val="both"/>
      </w:pPr>
      <w:r>
        <w:rPr>
          <w:rStyle w:val="CharStyle14"/>
        </w:rPr>
        <w:t>обеспечения государственных и муниципальных нужд (КТРУ).</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Постановлением Правительства РФ от </w:t>
      </w:r>
      <w:r>
        <w:rPr>
          <w:rStyle w:val="CharStyle14"/>
          <w:lang w:val="en-US" w:eastAsia="en-US"/>
        </w:rPr>
        <w:t xml:space="preserve">08.02.2017 № 145 </w:t>
      </w:r>
      <w:r>
        <w:rPr>
          <w:rStyle w:val="CharStyle14"/>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подпункту б) пункта </w:t>
      </w:r>
      <w:r>
        <w:rPr>
          <w:rStyle w:val="CharStyle14"/>
          <w:lang w:val="en-US" w:eastAsia="en-US"/>
        </w:rPr>
        <w:t xml:space="preserve">2, </w:t>
      </w:r>
      <w:r>
        <w:rPr>
          <w:rStyle w:val="CharStyle14"/>
        </w:rPr>
        <w:t xml:space="preserve">пункту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4"/>
          <w:lang w:val="en-US" w:eastAsia="en-US"/>
        </w:rPr>
        <w:t xml:space="preserve">33 </w:t>
      </w:r>
      <w:r>
        <w:rPr>
          <w:rStyle w:val="CharStyle14"/>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75 </w:t>
      </w:r>
      <w:r>
        <w:rPr>
          <w:rStyle w:val="CharStyle14"/>
        </w:rPr>
        <w:t>Федерального закона соответственно.</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50 </w:t>
      </w:r>
      <w:r>
        <w:rPr>
          <w:rStyle w:val="CharStyle14"/>
        </w:rPr>
        <w:t>Закона о контрактной системе электронный запрос котировок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пункте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случаях, предусмотренных в подпунктах «а» </w:t>
      </w:r>
      <w:r>
        <w:rPr>
          <w:rStyle w:val="CharStyle14"/>
          <w:lang w:val="en-US" w:eastAsia="en-US"/>
        </w:rPr>
        <w:t xml:space="preserve">- </w:t>
      </w:r>
      <w:r>
        <w:rPr>
          <w:rStyle w:val="CharStyle14"/>
        </w:rPr>
        <w:t xml:space="preserve">«г»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Описание объекта закупки в соответствии с требованиями, указанными в части </w:t>
      </w:r>
      <w:r>
        <w:rPr>
          <w:rStyle w:val="CharStyle14"/>
          <w:lang w:val="en-US" w:eastAsia="en-US"/>
        </w:rPr>
        <w:t xml:space="preserve">1 </w:t>
      </w:r>
      <w:r>
        <w:rPr>
          <w:rStyle w:val="CharStyle14"/>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1002" w:right="543" w:bottom="972" w:left="1100" w:header="0" w:footer="3" w:gutter="0"/>
          <w:cols w:space="720"/>
          <w:noEndnote/>
          <w:rtlGutter w:val="0"/>
          <w:docGrid w:linePitch="360"/>
        </w:sectPr>
      </w:pPr>
      <w:r>
        <w:rPr>
          <w:rStyle w:val="CharStyle14"/>
        </w:rPr>
        <w:t xml:space="preserve">Извещение о закупке в разделе «объект закупки» содержит наименование закупаемого товара «Анализатор культуры крови ИВД, автоматический», код позиции КТРУ </w:t>
      </w:r>
      <w:r>
        <w:rPr>
          <w:rStyle w:val="CharStyle14"/>
          <w:lang w:val="en-US" w:eastAsia="en-US"/>
        </w:rPr>
        <w:t>26.60.12.119-00000188.</w:t>
      </w:r>
    </w:p>
    <w:p>
      <w:pPr>
        <w:pStyle w:val="Style13"/>
        <w:keepNext w:val="0"/>
        <w:keepLines w:val="0"/>
        <w:widowControl w:val="0"/>
        <w:shd w:val="clear" w:color="auto" w:fill="auto"/>
        <w:bidi w:val="0"/>
        <w:spacing w:before="0" w:after="0" w:line="240" w:lineRule="auto"/>
        <w:ind w:left="0" w:right="0" w:firstLine="740"/>
        <w:jc w:val="both"/>
      </w:pPr>
      <w:r>
        <w:rPr>
          <w:rStyle w:val="CharStyle14"/>
        </w:rPr>
        <w:t>Закон о контрактной системе не содержит требований к порядку применения определенного кода позиции КТРУ.</w:t>
      </w:r>
    </w:p>
    <w:p>
      <w:pPr>
        <w:pStyle w:val="Style13"/>
        <w:keepNext w:val="0"/>
        <w:keepLines w:val="0"/>
        <w:widowControl w:val="0"/>
        <w:shd w:val="clear" w:color="auto" w:fill="auto"/>
        <w:bidi w:val="0"/>
        <w:spacing w:before="0" w:after="0" w:line="240" w:lineRule="auto"/>
        <w:ind w:left="0" w:right="0" w:firstLine="740"/>
        <w:jc w:val="both"/>
      </w:pPr>
      <w:r>
        <w:rPr>
          <w:rStyle w:val="CharStyle14"/>
        </w:rPr>
        <w:t>Заказчики самостоятельно определяют код позиции КТРУ путем соотнесения объекта закупки к соответствующему коду и наименованию с учетом специфики закупки в области применения, исходя из собственных потребностей и особенностей закупаемого товара.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Код позиции по КТРУ </w:t>
      </w:r>
      <w:r>
        <w:rPr>
          <w:rStyle w:val="CharStyle14"/>
          <w:lang w:val="en-US" w:eastAsia="en-US"/>
        </w:rPr>
        <w:t xml:space="preserve">26.60.12.119-00000188 </w:t>
      </w:r>
      <w:r>
        <w:rPr>
          <w:rStyle w:val="CharStyle14"/>
        </w:rPr>
        <w:t>описания товара не содержит.</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 учетом отсутствия описания объекта закупки в примененной заказчиком позиции КТРУ, в силу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условия пункта </w:t>
      </w:r>
      <w:r>
        <w:rPr>
          <w:rStyle w:val="CharStyle14"/>
          <w:lang w:val="en-US" w:eastAsia="en-US"/>
        </w:rPr>
        <w:t xml:space="preserve">5 </w:t>
      </w:r>
      <w:r>
        <w:rPr>
          <w:rStyle w:val="CharStyle14"/>
        </w:rPr>
        <w:t xml:space="preserve">Правил использования каталога в отношении описания товара, не сформированного и не включенного в позицию каталога, не применяются, заказчик использует при осуществлении закупки позицию каталога, при этом самостоятельно осуществляет описание закупаемого товара, работы, услуги в соответствии с требованиями статьи </w:t>
      </w:r>
      <w:r>
        <w:rPr>
          <w:rStyle w:val="CharStyle14"/>
          <w:lang w:val="en-US" w:eastAsia="en-US"/>
        </w:rPr>
        <w:t xml:space="preserve">33 </w:t>
      </w:r>
      <w:r>
        <w:rPr>
          <w:rStyle w:val="CharStyle14"/>
        </w:rPr>
        <w:t>Закона о контрактной системе (то есть самостоятельно устанавливает требуемые характеристики закупаемого товара).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пункту </w:t>
      </w:r>
      <w:r>
        <w:rPr>
          <w:rStyle w:val="CharStyle14"/>
          <w:lang w:val="en-US" w:eastAsia="en-US"/>
        </w:rPr>
        <w:t xml:space="preserve">3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наряду с прочим,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340" w:line="240" w:lineRule="auto"/>
        <w:ind w:left="0" w:right="0" w:firstLine="700"/>
        <w:jc w:val="left"/>
      </w:pPr>
      <w:r>
        <w:rPr>
          <w:rStyle w:val="CharStyle14"/>
        </w:rPr>
        <w:t>Описание объекта закупки содержит, наряду с прочим, показатели и их значения:</w:t>
      </w:r>
    </w:p>
    <w:tbl>
      <w:tblPr>
        <w:tblOverlap w:val="never"/>
        <w:jc w:val="center"/>
        <w:tblLayout w:type="fixed"/>
      </w:tblPr>
      <w:tblGrid>
        <w:gridCol w:w="2189"/>
        <w:gridCol w:w="1258"/>
        <w:gridCol w:w="6797"/>
      </w:tblGrid>
      <w:tr>
        <w:trPr>
          <w:trHeight w:val="461"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rPr>
              <w:t>Характеристика</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pPr>
            <w:r>
              <w:rPr>
                <w:rStyle w:val="CharStyle20"/>
              </w:rPr>
              <w:t>значение</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740"/>
              <w:jc w:val="left"/>
            </w:pPr>
            <w:r>
              <w:rPr>
                <w:rStyle w:val="CharStyle20"/>
              </w:rPr>
              <w:t>Инструкция по заполнению характеристики в заявке</w:t>
            </w:r>
          </w:p>
        </w:tc>
      </w:tr>
      <w:tr>
        <w:trPr>
          <w:trHeight w:val="902"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rPr>
              <w:t>компьютер</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наличие</w:t>
            </w:r>
          </w:p>
        </w:tc>
        <w:tc>
          <w:tcPr>
            <w:tcBorders/>
            <w:shd w:val="clear" w:color="auto" w:fill="auto"/>
            <w:vAlign w:val="center"/>
          </w:tcPr>
          <w:p>
            <w:pPr>
              <w:pStyle w:val="Style19"/>
              <w:keepNext w:val="0"/>
              <w:keepLines w:val="0"/>
              <w:widowControl w:val="0"/>
              <w:shd w:val="clear" w:color="auto" w:fill="auto"/>
              <w:bidi w:val="0"/>
              <w:spacing w:before="0" w:after="0" w:line="240" w:lineRule="auto"/>
              <w:ind w:left="140" w:right="0" w:firstLine="0"/>
              <w:jc w:val="both"/>
            </w:pPr>
            <w:r>
              <w:rPr>
                <w:rStyle w:val="CharStyle20"/>
              </w:rPr>
              <w:t>Значение характеристики не может изменяться участником закупки</w:t>
            </w:r>
          </w:p>
        </w:tc>
      </w:tr>
      <w:tr>
        <w:trPr>
          <w:trHeight w:val="893" w:hRule="exact"/>
        </w:trPr>
        <w:tc>
          <w:tcPr>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pPr>
            <w:r>
              <w:rPr>
                <w:rStyle w:val="CharStyle20"/>
              </w:rPr>
              <w:t>монитор со</w:t>
            </w:r>
          </w:p>
          <w:p>
            <w:pPr>
              <w:pStyle w:val="Style19"/>
              <w:keepNext w:val="0"/>
              <w:keepLines w:val="0"/>
              <w:widowControl w:val="0"/>
              <w:shd w:val="clear" w:color="auto" w:fill="auto"/>
              <w:bidi w:val="0"/>
              <w:spacing w:before="0" w:after="0" w:line="240" w:lineRule="auto"/>
              <w:ind w:left="0" w:right="0" w:firstLine="0"/>
              <w:jc w:val="left"/>
            </w:pPr>
            <w:r>
              <w:rPr>
                <w:rStyle w:val="CharStyle20"/>
              </w:rPr>
              <w:t>шнуром питания</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да</w:t>
            </w:r>
          </w:p>
        </w:tc>
        <w:tc>
          <w:tcPr>
            <w:tcBorders/>
            <w:shd w:val="clear" w:color="auto" w:fill="auto"/>
            <w:vAlign w:val="center"/>
          </w:tcPr>
          <w:p>
            <w:pPr>
              <w:pStyle w:val="Style19"/>
              <w:keepNext w:val="0"/>
              <w:keepLines w:val="0"/>
              <w:widowControl w:val="0"/>
              <w:shd w:val="clear" w:color="auto" w:fill="auto"/>
              <w:bidi w:val="0"/>
              <w:spacing w:before="0" w:after="0" w:line="240" w:lineRule="auto"/>
              <w:ind w:left="140" w:right="0" w:firstLine="0"/>
              <w:jc w:val="both"/>
            </w:pPr>
            <w:r>
              <w:rPr>
                <w:rStyle w:val="CharStyle20"/>
              </w:rPr>
              <w:t>Значение характеристики не может изменяться участником закупки</w:t>
            </w:r>
          </w:p>
        </w:tc>
      </w:tr>
      <w:tr>
        <w:trPr>
          <w:trHeight w:val="811" w:hRule="exact"/>
        </w:trPr>
        <w:tc>
          <w:tcPr>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pPr>
            <w:r>
              <w:rPr>
                <w:rStyle w:val="CharStyle20"/>
              </w:rPr>
              <w:t>клавиатура</w:t>
            </w:r>
          </w:p>
        </w:tc>
        <w:tc>
          <w:tcPr>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pPr>
            <w:r>
              <w:rPr>
                <w:rStyle w:val="CharStyle20"/>
              </w:rPr>
              <w:t>да</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140" w:right="0" w:firstLine="0"/>
              <w:jc w:val="both"/>
            </w:pPr>
            <w:r>
              <w:rPr>
                <w:rStyle w:val="CharStyle20"/>
              </w:rPr>
              <w:t>Значение характеристики не может изменяться участником закупки</w:t>
            </w:r>
          </w:p>
        </w:tc>
      </w:tr>
      <w:tr>
        <w:trPr>
          <w:trHeight w:val="634" w:hRule="exact"/>
        </w:trPr>
        <w:tc>
          <w:tcPr>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манипулятор типа «мышь»</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да</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140" w:right="0" w:firstLine="0"/>
              <w:jc w:val="both"/>
            </w:pPr>
            <w:r>
              <w:rPr>
                <w:rStyle w:val="CharStyle20"/>
              </w:rPr>
              <w:t>Значение характеристики не может изменяться участником закупки</w:t>
            </w:r>
          </w:p>
        </w:tc>
      </w:tr>
    </w:tbl>
    <w:p>
      <w:pPr>
        <w:widowControl w:val="0"/>
        <w:spacing w:after="239" w:line="1" w:lineRule="exact"/>
      </w:pP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Коми УФАС России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280" w:line="295" w:lineRule="auto"/>
        <w:ind w:left="0" w:right="0" w:firstLine="740"/>
        <w:jc w:val="both"/>
        <w:rPr>
          <w:sz w:val="24"/>
          <w:szCs w:val="24"/>
        </w:rPr>
        <w:sectPr>
          <w:headerReference w:type="default" r:id="rId11"/>
          <w:footerReference w:type="default" r:id="rId12"/>
          <w:footnotePr>
            <w:pos w:val="pageBottom"/>
            <w:numFmt w:val="decimal"/>
            <w:numRestart w:val="continuous"/>
          </w:footnotePr>
          <w:pgSz w:w="11900" w:h="16840"/>
          <w:pgMar w:top="1666" w:right="546" w:bottom="773" w:left="1106" w:header="0" w:footer="345" w:gutter="0"/>
          <w:cols w:space="720"/>
          <w:noEndnote/>
          <w:rtlGutter w:val="0"/>
          <w:docGrid w:linePitch="360"/>
        </w:sectPr>
      </w:pPr>
      <w:r>
        <w:rPr>
          <w:rStyle w:val="CharStyle14"/>
        </w:rPr>
        <w:t xml:space="preserve">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w:t>
      </w:r>
      <w:r>
        <w:rPr>
          <w:rStyle w:val="CharStyle14"/>
          <w:sz w:val="24"/>
          <w:szCs w:val="24"/>
          <w:lang w:val="en-US" w:eastAsia="en-US"/>
        </w:rPr>
        <w:t>2026-3604</w:t>
      </w:r>
    </w:p>
    <w:p>
      <w:pPr>
        <w:pStyle w:val="Style13"/>
        <w:keepNext w:val="0"/>
        <w:keepLines w:val="0"/>
        <w:widowControl w:val="0"/>
        <w:shd w:val="clear" w:color="auto" w:fill="auto"/>
        <w:bidi w:val="0"/>
        <w:spacing w:before="0" w:after="0" w:line="240" w:lineRule="auto"/>
        <w:ind w:left="0" w:right="0" w:firstLine="0"/>
        <w:jc w:val="both"/>
      </w:pPr>
      <w:r>
        <w:rPr>
          <w:rStyle w:val="CharStyle14"/>
        </w:rPr>
        <w:t>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Указанная правовая позиция отражена в пункте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w:t>
      </w:r>
      <w:r>
        <w:rPr>
          <w:rStyle w:val="CharStyle14"/>
          <w:lang w:val="en-US" w:eastAsia="en-US"/>
        </w:rPr>
        <w:t>28.06.2017.</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При этом в пункте </w:t>
      </w:r>
      <w:r>
        <w:rPr>
          <w:rStyle w:val="CharStyle14"/>
          <w:lang w:val="en-US" w:eastAsia="en-US"/>
        </w:rPr>
        <w:t xml:space="preserve">1 </w:t>
      </w:r>
      <w:r>
        <w:rPr>
          <w:rStyle w:val="CharStyle14"/>
        </w:rPr>
        <w:t>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Однозначных и бесспорных доказательств того, что установленные заказчиком требования к товару являются несущественными для заказчика, в материалах жалобы отсутствуют.</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ГБУ РК «Служба единого заказчика Республики Коми» в письме от </w:t>
      </w:r>
      <w:r>
        <w:rPr>
          <w:rStyle w:val="CharStyle14"/>
          <w:lang w:val="en-US" w:eastAsia="en-US"/>
        </w:rPr>
        <w:t>15.05.2026 № 03</w:t>
        <w:softHyphen/>
        <w:t xml:space="preserve">03/129 </w:t>
      </w:r>
      <w:r>
        <w:rPr>
          <w:rStyle w:val="CharStyle14"/>
        </w:rPr>
        <w:t xml:space="preserve">(вх. от </w:t>
      </w:r>
      <w:r>
        <w:rPr>
          <w:rStyle w:val="CharStyle14"/>
          <w:lang w:val="en-US" w:eastAsia="en-US"/>
        </w:rPr>
        <w:t xml:space="preserve">15.05.2026 № </w:t>
      </w:r>
      <w:r>
        <w:rPr>
          <w:rStyle w:val="CharStyle14"/>
        </w:rPr>
        <w:t xml:space="preserve">5169-ЭП/26) указало, что описание объекта закупки составлено с учетом потребности заказчика и таким образом, чтобы ему соответствовали товары как минимум двух производителей: анализатор бактериологический автоматический юнона® </w:t>
      </w:r>
      <w:r>
        <w:rPr>
          <w:rStyle w:val="CharStyle14"/>
          <w:lang w:val="en-US" w:eastAsia="en-US"/>
        </w:rPr>
        <w:t xml:space="preserve">LABSTAR 50 </w:t>
      </w:r>
      <w:r>
        <w:rPr>
          <w:rStyle w:val="CharStyle14"/>
        </w:rPr>
        <w:t xml:space="preserve">с принадлежностями, регистрационное удостоверение РЗН </w:t>
      </w:r>
      <w:r>
        <w:rPr>
          <w:rStyle w:val="CharStyle14"/>
          <w:lang w:val="en-US" w:eastAsia="en-US"/>
        </w:rPr>
        <w:t xml:space="preserve">2019/9250; </w:t>
      </w:r>
      <w:r>
        <w:rPr>
          <w:rStyle w:val="CharStyle14"/>
        </w:rPr>
        <w:t xml:space="preserve">система автоматическая микробиологическая </w:t>
      </w:r>
      <w:r>
        <w:rPr>
          <w:rStyle w:val="CharStyle14"/>
          <w:lang w:val="en-US" w:eastAsia="en-US"/>
        </w:rPr>
        <w:t xml:space="preserve">BC120 </w:t>
      </w:r>
      <w:r>
        <w:rPr>
          <w:rStyle w:val="CharStyle14"/>
        </w:rPr>
        <w:t xml:space="preserve">для </w:t>
      </w:r>
      <w:r>
        <w:rPr>
          <w:rStyle w:val="CharStyle14"/>
          <w:lang w:val="en-US" w:eastAsia="en-US"/>
        </w:rPr>
        <w:t xml:space="preserve">in vitro </w:t>
      </w:r>
      <w:r>
        <w:rPr>
          <w:rStyle w:val="CharStyle14"/>
        </w:rPr>
        <w:t xml:space="preserve">диагностики, регистрационное удостоверение РЗН </w:t>
      </w:r>
      <w:r>
        <w:rPr>
          <w:rStyle w:val="CharStyle14"/>
          <w:lang w:val="en-US" w:eastAsia="en-US"/>
        </w:rPr>
        <w:t xml:space="preserve">2023/21124 </w:t>
      </w:r>
      <w:r>
        <w:rPr>
          <w:rStyle w:val="CharStyle14"/>
        </w:rPr>
        <w:t>(в подтверждение представлена сравнительная таблица), при этом соблюдался принцип сохранения или улучшения характеристик оборудования и его комплектации без увеличения сметной стоимости, в соответствии с требованием автора проектно-сметной документации для строительства объекта капитального строительства.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Комиссией Коми УФАС России установлено, что описание объекта закупки не содержит информации, запрещенной к указанию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при описании объекта закупки.</w:t>
      </w:r>
    </w:p>
    <w:p>
      <w:pPr>
        <w:pStyle w:val="Style13"/>
        <w:keepNext w:val="0"/>
        <w:keepLines w:val="0"/>
        <w:widowControl w:val="0"/>
        <w:numPr>
          <w:ilvl w:val="1"/>
          <w:numId w:val="1"/>
        </w:numPr>
        <w:shd w:val="clear" w:color="auto" w:fill="auto"/>
        <w:tabs>
          <w:tab w:pos="1310" w:val="left"/>
        </w:tabs>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50 </w:t>
      </w:r>
      <w:r>
        <w:rPr>
          <w:rStyle w:val="CharStyle14"/>
        </w:rPr>
        <w:t xml:space="preserve">Закона о контрактной системе заявка на участие в закупке должна содержать информацию и документы, предусмотренные подпунктами «м» </w:t>
      </w:r>
      <w:r>
        <w:rPr>
          <w:rStyle w:val="CharStyle14"/>
          <w:lang w:val="en-US" w:eastAsia="en-US"/>
        </w:rPr>
        <w:t xml:space="preserve">- </w:t>
      </w:r>
      <w:r>
        <w:rPr>
          <w:rStyle w:val="CharStyle14"/>
        </w:rPr>
        <w:t xml:space="preserve">«п» пункта </w:t>
      </w:r>
      <w:r>
        <w:rPr>
          <w:rStyle w:val="CharStyle14"/>
          <w:lang w:val="en-US" w:eastAsia="en-US"/>
        </w:rPr>
        <w:t xml:space="preserve">1, </w:t>
      </w:r>
      <w:r>
        <w:rPr>
          <w:rStyle w:val="CharStyle14"/>
        </w:rPr>
        <w:t xml:space="preserve">подпунктами «а» </w:t>
      </w:r>
      <w:r>
        <w:rPr>
          <w:rStyle w:val="CharStyle14"/>
          <w:lang w:val="en-US" w:eastAsia="en-US"/>
        </w:rPr>
        <w:t xml:space="preserve">- </w:t>
      </w:r>
      <w:r>
        <w:rPr>
          <w:rStyle w:val="CharStyle14"/>
        </w:rPr>
        <w:t xml:space="preserve">«в» пункта </w:t>
      </w:r>
      <w:r>
        <w:rPr>
          <w:rStyle w:val="CharStyle14"/>
          <w:lang w:val="en-US" w:eastAsia="en-US"/>
        </w:rPr>
        <w:t xml:space="preserve">2, </w:t>
      </w:r>
      <w:r>
        <w:rPr>
          <w:rStyle w:val="CharStyle14"/>
        </w:rPr>
        <w:t xml:space="preserve">пунктом </w:t>
      </w:r>
      <w:r>
        <w:rPr>
          <w:rStyle w:val="CharStyle14"/>
          <w:lang w:val="en-US" w:eastAsia="en-US"/>
        </w:rPr>
        <w:t xml:space="preserve">3 </w:t>
      </w:r>
      <w:r>
        <w:rPr>
          <w:rStyle w:val="CharStyle14"/>
        </w:rPr>
        <w:t xml:space="preserve">или пунктом </w:t>
      </w:r>
      <w:r>
        <w:rPr>
          <w:rStyle w:val="CharStyle14"/>
          <w:lang w:val="en-US" w:eastAsia="en-US"/>
        </w:rPr>
        <w:t xml:space="preserve">4, </w:t>
      </w:r>
      <w:r>
        <w:rPr>
          <w:rStyle w:val="CharStyle14"/>
        </w:rPr>
        <w:t xml:space="preserve">пунктом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подпунктами «а»- «в» пункта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Закона о контрактной системе заявка на участие в закупке должна содержать, в том числе, предложение участника закупки в отношении объекта закупки:</w:t>
      </w:r>
    </w:p>
    <w:p>
      <w:pPr>
        <w:pStyle w:val="Style13"/>
        <w:keepNext w:val="0"/>
        <w:keepLines w:val="0"/>
        <w:widowControl w:val="0"/>
        <w:numPr>
          <w:ilvl w:val="0"/>
          <w:numId w:val="3"/>
        </w:numPr>
        <w:shd w:val="clear" w:color="auto" w:fill="auto"/>
        <w:tabs>
          <w:tab w:pos="1024" w:val="left"/>
        </w:tabs>
        <w:bidi w:val="0"/>
        <w:spacing w:before="0" w:after="0" w:line="240" w:lineRule="auto"/>
        <w:ind w:left="0" w:right="0" w:firstLine="740"/>
        <w:jc w:val="both"/>
      </w:pPr>
      <w:r>
        <w:rPr>
          <w:rStyle w:val="CharStyle14"/>
        </w:rPr>
        <w:t xml:space="preserve">с учетом положений части </w:t>
      </w:r>
      <w:r>
        <w:rPr>
          <w:rStyle w:val="CharStyle14"/>
          <w:lang w:val="en-US" w:eastAsia="en-US"/>
        </w:rPr>
        <w:t xml:space="preserve">2 </w:t>
      </w:r>
      <w:r>
        <w:rPr>
          <w:rStyle w:val="CharStyle14"/>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настоящего Федерального закона, товарный знак (при наличии у товара товарного знака);</w:t>
      </w:r>
    </w:p>
    <w:p>
      <w:pPr>
        <w:pStyle w:val="Style13"/>
        <w:keepNext w:val="0"/>
        <w:keepLines w:val="0"/>
        <w:widowControl w:val="0"/>
        <w:numPr>
          <w:ilvl w:val="0"/>
          <w:numId w:val="3"/>
        </w:numPr>
        <w:shd w:val="clear" w:color="auto" w:fill="auto"/>
        <w:tabs>
          <w:tab w:pos="1096" w:val="left"/>
        </w:tabs>
        <w:bidi w:val="0"/>
        <w:spacing w:before="0" w:after="0" w:line="240" w:lineRule="auto"/>
        <w:ind w:left="0" w:right="0" w:firstLine="740"/>
        <w:jc w:val="both"/>
      </w:pPr>
      <w:r>
        <w:rPr>
          <w:rStyle w:val="CharStyle14"/>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части </w:t>
      </w:r>
      <w:r>
        <w:rPr>
          <w:rStyle w:val="CharStyle14"/>
          <w:lang w:val="en-US" w:eastAsia="en-US"/>
        </w:rPr>
        <w:t xml:space="preserve">2 </w:t>
      </w:r>
      <w:r>
        <w:rPr>
          <w:rStyle w:val="CharStyle14"/>
        </w:rPr>
        <w:t>настоящей статьи;</w:t>
      </w:r>
    </w:p>
    <w:p>
      <w:pPr>
        <w:pStyle w:val="Style13"/>
        <w:keepNext w:val="0"/>
        <w:keepLines w:val="0"/>
        <w:widowControl w:val="0"/>
        <w:numPr>
          <w:ilvl w:val="0"/>
          <w:numId w:val="3"/>
        </w:numPr>
        <w:shd w:val="clear" w:color="auto" w:fill="auto"/>
        <w:tabs>
          <w:tab w:pos="1033" w:val="left"/>
        </w:tabs>
        <w:bidi w:val="0"/>
        <w:spacing w:before="0" w:after="0" w:line="240" w:lineRule="auto"/>
        <w:ind w:left="0" w:right="0" w:firstLine="740"/>
        <w:jc w:val="both"/>
      </w:pPr>
      <w:r>
        <w:rPr>
          <w:rStyle w:val="CharStyle1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Требования к содержанию, составу заявки на участие в закупке и инструкция по ее заполнению размещены в составе извещения о закупке в виде отдельного электронного документа (далее </w:t>
      </w:r>
      <w:r>
        <w:rPr>
          <w:rStyle w:val="CharStyle14"/>
          <w:lang w:val="en-US" w:eastAsia="en-US"/>
        </w:rPr>
        <w:t xml:space="preserve">- </w:t>
      </w:r>
      <w:r>
        <w:rPr>
          <w:rStyle w:val="CharStyle14"/>
        </w:rPr>
        <w:t>Требования к содержанию, составу заявки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пунктах </w:t>
      </w:r>
      <w:r>
        <w:rPr>
          <w:rStyle w:val="CharStyle14"/>
          <w:lang w:val="en-US" w:eastAsia="en-US"/>
        </w:rPr>
        <w:t xml:space="preserve">6 - 8 </w:t>
      </w:r>
      <w:r>
        <w:rPr>
          <w:rStyle w:val="CharStyle14"/>
        </w:rPr>
        <w:t xml:space="preserve">Требований к содержанию, составу заявки на участие в закупке установлены требования к содержанию заявки в соответствии с подпунктами «а» </w:t>
      </w:r>
      <w:r>
        <w:rPr>
          <w:rStyle w:val="CharStyle14"/>
          <w:lang w:val="en-US" w:eastAsia="en-US"/>
        </w:rPr>
        <w:t xml:space="preserve">- </w:t>
      </w:r>
      <w:r>
        <w:rPr>
          <w:rStyle w:val="CharStyle14"/>
        </w:rPr>
        <w:t xml:space="preserve">«в» пункта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Федерального закона </w:t>
      </w:r>
      <w:r>
        <w:rPr>
          <w:rStyle w:val="CharStyle14"/>
          <w:lang w:val="en-US" w:eastAsia="en-US"/>
        </w:rPr>
        <w:t xml:space="preserve">№ </w:t>
      </w:r>
      <w:r>
        <w:rPr>
          <w:rStyle w:val="CharStyle14"/>
        </w:rPr>
        <w:t>44-ФЗ, товарный знак (при наличии у товара товарного знака): требуется представление в соответствии с описанием объекта закупки и инструкцией по заполнению заявки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-наименование страны происхождения товара в соответствии с общероссийским классификатором, используемым для идентификации стран мира: требуется указание;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требуется представление копии действующего регистрационного удостоверения на медицинское изделие, требуемое в рамках данной закупки, либо выписки, либо записи (информации о реквизитах такого регистрационного удостоверения с указанием номера и даты его выдачи)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подтверждающие факт государственной регистрации медицинского изделия в порядке, установленном Правительством Российской Федерации)».</w:t>
      </w:r>
    </w:p>
    <w:p>
      <w:pPr>
        <w:pStyle w:val="Style13"/>
        <w:keepNext w:val="0"/>
        <w:keepLines w:val="0"/>
        <w:widowControl w:val="0"/>
        <w:numPr>
          <w:ilvl w:val="1"/>
          <w:numId w:val="1"/>
        </w:numPr>
        <w:shd w:val="clear" w:color="auto" w:fill="auto"/>
        <w:tabs>
          <w:tab w:pos="1310" w:val="left"/>
        </w:tabs>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2, </w:t>
      </w:r>
      <w:r>
        <w:rPr>
          <w:rStyle w:val="CharStyle14"/>
        </w:rPr>
        <w:t xml:space="preserve">подпункту «а»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50 </w:t>
      </w:r>
      <w:r>
        <w:rPr>
          <w:rStyle w:val="CharStyle14"/>
        </w:rPr>
        <w:t xml:space="preserve">Закона о контрактной системе не позднее одного часа с момента окончания срока подачи заявок на участие в закупке оператор электронной площадки в соответствии с пунктом </w:t>
      </w:r>
      <w:r>
        <w:rPr>
          <w:rStyle w:val="CharStyle14"/>
          <w:lang w:val="en-US" w:eastAsia="en-US"/>
        </w:rPr>
        <w:t xml:space="preserve">9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 xml:space="preserve">настоящего Федерального закона направляет заказчику заявки на участие в закупке, а также предусмотренные пунктами </w:t>
      </w:r>
      <w:r>
        <w:rPr>
          <w:rStyle w:val="CharStyle14"/>
          <w:lang w:val="en-US" w:eastAsia="en-US"/>
        </w:rPr>
        <w:t xml:space="preserve">2 </w:t>
      </w:r>
      <w:r>
        <w:rPr>
          <w:rStyle w:val="CharStyle14"/>
        </w:rPr>
        <w:t xml:space="preserve">и </w:t>
      </w:r>
      <w:r>
        <w:rPr>
          <w:rStyle w:val="CharStyle14"/>
          <w:lang w:val="en-US" w:eastAsia="en-US"/>
        </w:rPr>
        <w:t xml:space="preserve">3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настоящего Федерального закона информацию и документы участников закупок, подавших такие заявки.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w:t>
      </w:r>
      <w:r>
        <w:rPr>
          <w:rStyle w:val="CharStyle14"/>
          <w:lang w:val="en-US" w:eastAsia="en-US"/>
        </w:rPr>
        <w:t xml:space="preserve">2 </w:t>
      </w:r>
      <w:r>
        <w:rPr>
          <w:rStyle w:val="CharStyle14"/>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4"/>
          <w:lang w:val="en-US" w:eastAsia="en-US"/>
        </w:rPr>
        <w:t xml:space="preserve">1 - 8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пунктом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 при рассмотрении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По протоколу подведения итогов определения поставщика от </w:t>
      </w:r>
      <w:r>
        <w:rPr>
          <w:rStyle w:val="CharStyle14"/>
          <w:lang w:val="en-US" w:eastAsia="en-US"/>
        </w:rPr>
        <w:t xml:space="preserve">08.05.2026 № </w:t>
      </w:r>
      <w:r>
        <w:rPr>
          <w:rStyle w:val="CharStyle14"/>
        </w:rPr>
        <w:t xml:space="preserve">ИЗК1 по окончании срока подачи заявок подано </w:t>
      </w:r>
      <w:r>
        <w:rPr>
          <w:rStyle w:val="CharStyle14"/>
          <w:lang w:val="en-US" w:eastAsia="en-US"/>
        </w:rPr>
        <w:t xml:space="preserve">4 </w:t>
      </w:r>
      <w:r>
        <w:rPr>
          <w:rStyle w:val="CharStyle14"/>
        </w:rPr>
        <w:t xml:space="preserve">заявки на участие в закупке, </w:t>
      </w:r>
      <w:r>
        <w:rPr>
          <w:rStyle w:val="CharStyle14"/>
          <w:lang w:val="en-US" w:eastAsia="en-US"/>
        </w:rPr>
        <w:t xml:space="preserve">2 </w:t>
      </w:r>
      <w:r>
        <w:rPr>
          <w:rStyle w:val="CharStyle14"/>
        </w:rPr>
        <w:t xml:space="preserve">из них (идентификационные номера участников </w:t>
      </w:r>
      <w:r>
        <w:rPr>
          <w:rStyle w:val="CharStyle14"/>
          <w:lang w:val="en-US" w:eastAsia="en-US"/>
        </w:rPr>
        <w:t xml:space="preserve">121174132, 121177388) </w:t>
      </w:r>
      <w:r>
        <w:rPr>
          <w:rStyle w:val="CharStyle14"/>
        </w:rPr>
        <w:t xml:space="preserve">признаны соответствующими требованиям извещения о закупке, две заявки (идентификационные номера участников </w:t>
      </w:r>
      <w:r>
        <w:rPr>
          <w:rStyle w:val="CharStyle14"/>
          <w:lang w:val="en-US" w:eastAsia="en-US"/>
        </w:rPr>
        <w:t xml:space="preserve">121175421 </w:t>
      </w:r>
      <w:r>
        <w:rPr>
          <w:rStyle w:val="CharStyle14"/>
        </w:rPr>
        <w:t xml:space="preserve">(заявитель), </w:t>
      </w:r>
      <w:r>
        <w:rPr>
          <w:rStyle w:val="CharStyle14"/>
          <w:lang w:val="en-US" w:eastAsia="en-US"/>
        </w:rPr>
        <w:t xml:space="preserve">121178040) </w:t>
      </w:r>
      <w:r>
        <w:rPr>
          <w:rStyle w:val="CharStyle14"/>
        </w:rPr>
        <w:t xml:space="preserve">отклонены на основании пункта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По протоколу подведения итогов определения поставщика от </w:t>
      </w:r>
      <w:r>
        <w:rPr>
          <w:rStyle w:val="CharStyle14"/>
          <w:lang w:val="en-US" w:eastAsia="en-US"/>
        </w:rPr>
        <w:t xml:space="preserve">08.05.2026 № </w:t>
      </w:r>
      <w:r>
        <w:rPr>
          <w:rStyle w:val="CharStyle14"/>
        </w:rPr>
        <w:t xml:space="preserve">ИЗК1 заявка заявителя отклонена по пункту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 xml:space="preserve">Закона о контрактной системе с обоснованием принятого решения: «Заявка на участие в электронном запросе котировок отклоняется за несоответствие требованиям, установленным извещением об осуществлении закупки, в связи с выявлением недостоверной информации о предлагаемом медицинском изделии: в заявке участника по позиции «Анализатор культуры крови ИВД, автоматический» значение характеристики «монитор со шнуром питания», «клавиатура», «манипулятор типа «Мышь» указано </w:t>
      </w:r>
      <w:r>
        <w:rPr>
          <w:rStyle w:val="CharStyle14"/>
          <w:lang w:val="en-US" w:eastAsia="en-US"/>
        </w:rPr>
        <w:t xml:space="preserve">- </w:t>
      </w:r>
      <w:r>
        <w:rPr>
          <w:rStyle w:val="CharStyle14"/>
        </w:rPr>
        <w:t xml:space="preserve">«да», при этом, согласно представленному регистрационному удостоверению </w:t>
      </w:r>
      <w:r>
        <w:rPr>
          <w:rStyle w:val="CharStyle14"/>
          <w:lang w:val="en-US" w:eastAsia="en-US"/>
        </w:rPr>
        <w:t xml:space="preserve">№ </w:t>
      </w:r>
      <w:r>
        <w:rPr>
          <w:rStyle w:val="CharStyle14"/>
        </w:rPr>
        <w:t xml:space="preserve">РЗН </w:t>
      </w:r>
      <w:r>
        <w:rPr>
          <w:rStyle w:val="CharStyle14"/>
          <w:lang w:val="en-US" w:eastAsia="en-US"/>
        </w:rPr>
        <w:t xml:space="preserve">2023/21124 </w:t>
      </w:r>
      <w:r>
        <w:rPr>
          <w:rStyle w:val="CharStyle14"/>
        </w:rPr>
        <w:t xml:space="preserve">от </w:t>
      </w:r>
      <w:r>
        <w:rPr>
          <w:rStyle w:val="CharStyle14"/>
          <w:lang w:val="en-US" w:eastAsia="en-US"/>
        </w:rPr>
        <w:t xml:space="preserve">19 </w:t>
      </w:r>
      <w:r>
        <w:rPr>
          <w:rStyle w:val="CharStyle14"/>
        </w:rPr>
        <w:t xml:space="preserve">февраля </w:t>
      </w:r>
      <w:r>
        <w:rPr>
          <w:rStyle w:val="CharStyle14"/>
          <w:lang w:val="en-US" w:eastAsia="en-US"/>
        </w:rPr>
        <w:t xml:space="preserve">2026 </w:t>
      </w:r>
      <w:r>
        <w:rPr>
          <w:rStyle w:val="CharStyle14"/>
        </w:rPr>
        <w:t xml:space="preserve">года на товар «Система автоматическая микробиологическая серии ВС для </w:t>
      </w:r>
      <w:r>
        <w:rPr>
          <w:rStyle w:val="CharStyle14"/>
          <w:lang w:val="en-US" w:eastAsia="en-US"/>
        </w:rPr>
        <w:t xml:space="preserve">in vitro </w:t>
      </w:r>
      <w:r>
        <w:rPr>
          <w:rStyle w:val="CharStyle14"/>
        </w:rPr>
        <w:t xml:space="preserve">диагностики» вариант исполнения: </w:t>
      </w:r>
      <w:r>
        <w:rPr>
          <w:rStyle w:val="CharStyle14"/>
          <w:lang w:val="en-US" w:eastAsia="en-US"/>
        </w:rPr>
        <w:t xml:space="preserve">I. </w:t>
      </w:r>
      <w:r>
        <w:rPr>
          <w:rStyle w:val="CharStyle14"/>
        </w:rPr>
        <w:t xml:space="preserve">Система автоматическая микробиологическая </w:t>
      </w:r>
      <w:r>
        <w:rPr>
          <w:rStyle w:val="CharStyle14"/>
          <w:lang w:val="en-US" w:eastAsia="en-US"/>
        </w:rPr>
        <w:t xml:space="preserve">BC60 </w:t>
      </w:r>
      <w:r>
        <w:rPr>
          <w:rStyle w:val="CharStyle14"/>
        </w:rPr>
        <w:t xml:space="preserve">для </w:t>
      </w:r>
      <w:r>
        <w:rPr>
          <w:rStyle w:val="CharStyle14"/>
          <w:lang w:val="en-US" w:eastAsia="en-US"/>
        </w:rPr>
        <w:t xml:space="preserve">in vitro </w:t>
      </w:r>
      <w:r>
        <w:rPr>
          <w:rStyle w:val="CharStyle14"/>
        </w:rPr>
        <w:t>диагностики производителя ООО «ИНТЕРЛАБСЕРВИС», в состав данной системы входит «планшетный ПК», в комплектацию которого не входит монитор со шнуром питания, клавиатура и манипулятор типа «мышь», что подтверждается информацией, опубликованной на официальном сайте Росздравнадзора».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Комиссией Коми УФАС России по результатам анализа заявки заявителя на участие в закупке, представленной в материалы жалобы оператором электронной площадки, установлено следующее: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заявке предложен товар: «Система автоматическая микробиологическая серии ВС для </w:t>
      </w:r>
      <w:r>
        <w:rPr>
          <w:rStyle w:val="CharStyle14"/>
          <w:lang w:val="en-US" w:eastAsia="en-US"/>
        </w:rPr>
        <w:t xml:space="preserve">in vitro </w:t>
      </w:r>
      <w:r>
        <w:rPr>
          <w:rStyle w:val="CharStyle14"/>
        </w:rPr>
        <w:t xml:space="preserve">диагностики, в вариантах исполнения: система автоматическая микробиологическая </w:t>
      </w:r>
      <w:r>
        <w:rPr>
          <w:rStyle w:val="CharStyle14"/>
          <w:lang w:val="en-US" w:eastAsia="en-US"/>
        </w:rPr>
        <w:t xml:space="preserve">BC60 </w:t>
      </w:r>
      <w:r>
        <w:rPr>
          <w:rStyle w:val="CharStyle14"/>
        </w:rPr>
        <w:t xml:space="preserve">для </w:t>
      </w:r>
      <w:r>
        <w:rPr>
          <w:rStyle w:val="CharStyle14"/>
          <w:lang w:val="en-US" w:eastAsia="en-US"/>
        </w:rPr>
        <w:t xml:space="preserve">in vitro </w:t>
      </w:r>
      <w:r>
        <w:rPr>
          <w:rStyle w:val="CharStyle14"/>
        </w:rPr>
        <w:t xml:space="preserve">диагностики», регистрационный номер медицинского изделия: РЗН </w:t>
      </w:r>
      <w:r>
        <w:rPr>
          <w:rStyle w:val="CharStyle14"/>
          <w:lang w:val="en-US" w:eastAsia="en-US"/>
        </w:rPr>
        <w:t>2023/21124,</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структурированной заявке на участие в закупке указаны значения показателей предлагаемого к поставке товара в соответствии с требованиями извещения о закупке, в том числе, наряду с прочим: компьютер </w:t>
      </w:r>
      <w:r>
        <w:rPr>
          <w:rStyle w:val="CharStyle14"/>
          <w:lang w:val="en-US" w:eastAsia="en-US"/>
        </w:rPr>
        <w:t xml:space="preserve">- </w:t>
      </w:r>
      <w:r>
        <w:rPr>
          <w:rStyle w:val="CharStyle14"/>
        </w:rPr>
        <w:t xml:space="preserve">наличие, монитор со шнуром питания </w:t>
      </w:r>
      <w:r>
        <w:rPr>
          <w:rStyle w:val="CharStyle14"/>
          <w:lang w:val="en-US" w:eastAsia="en-US"/>
        </w:rPr>
        <w:t xml:space="preserve">- </w:t>
      </w:r>
      <w:r>
        <w:rPr>
          <w:rStyle w:val="CharStyle14"/>
        </w:rPr>
        <w:t xml:space="preserve">да, клавиатура </w:t>
      </w:r>
      <w:r>
        <w:rPr>
          <w:rStyle w:val="CharStyle14"/>
          <w:lang w:val="en-US" w:eastAsia="en-US"/>
        </w:rPr>
        <w:t xml:space="preserve">- </w:t>
      </w:r>
      <w:r>
        <w:rPr>
          <w:rStyle w:val="CharStyle14"/>
        </w:rPr>
        <w:t xml:space="preserve">да, манипулятор типа «мышь» </w:t>
      </w:r>
      <w:r>
        <w:rPr>
          <w:rStyle w:val="CharStyle14"/>
          <w:lang w:val="en-US" w:eastAsia="en-US"/>
        </w:rPr>
        <w:t xml:space="preserve">- </w:t>
      </w:r>
      <w:r>
        <w:rPr>
          <w:rStyle w:val="CharStyle14"/>
        </w:rPr>
        <w:t>да.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Частью </w:t>
      </w:r>
      <w:r>
        <w:rPr>
          <w:rStyle w:val="CharStyle14"/>
          <w:lang w:val="en-US" w:eastAsia="en-US"/>
        </w:rPr>
        <w:t xml:space="preserve">4 </w:t>
      </w:r>
      <w:r>
        <w:rPr>
          <w:rStyle w:val="CharStyle14"/>
        </w:rPr>
        <w:t xml:space="preserve">статьи </w:t>
      </w:r>
      <w:r>
        <w:rPr>
          <w:rStyle w:val="CharStyle14"/>
          <w:lang w:val="en-US" w:eastAsia="en-US"/>
        </w:rPr>
        <w:t xml:space="preserve">38 </w:t>
      </w:r>
      <w:r>
        <w:rPr>
          <w:rStyle w:val="CharStyle14"/>
        </w:rPr>
        <w:t xml:space="preserve">Федерального закона от </w:t>
      </w:r>
      <w:r>
        <w:rPr>
          <w:rStyle w:val="CharStyle14"/>
          <w:lang w:val="en-US" w:eastAsia="en-US"/>
        </w:rPr>
        <w:t xml:space="preserve">21.11.2011 № </w:t>
      </w:r>
      <w:r>
        <w:rPr>
          <w:rStyle w:val="CharStyle14"/>
        </w:rPr>
        <w:t>323-ФЗ «Об основах охраны здоровья граждан в Российской Федерации» установлено, что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пунктом </w:t>
      </w:r>
      <w:r>
        <w:rPr>
          <w:rStyle w:val="CharStyle14"/>
          <w:lang w:val="en-US" w:eastAsia="en-US"/>
        </w:rPr>
        <w:t xml:space="preserve">3 </w:t>
      </w:r>
      <w:r>
        <w:rPr>
          <w:rStyle w:val="CharStyle14"/>
        </w:rPr>
        <w:t xml:space="preserve">Правил государственной регистрации медицинских изделий, утвержденных постановлением Правительства РФ от </w:t>
      </w:r>
      <w:r>
        <w:rPr>
          <w:rStyle w:val="CharStyle14"/>
          <w:lang w:val="en-US" w:eastAsia="en-US"/>
        </w:rPr>
        <w:t xml:space="preserve">30.11.2024 № 1684, </w:t>
      </w:r>
      <w:r>
        <w:rPr>
          <w:rStyle w:val="CharStyle14"/>
        </w:rPr>
        <w:t>государственная регистрация медицинских изделий осуществляется Федеральной службой по надзору в сфере здравоохранения.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(далее </w:t>
      </w:r>
      <w:r>
        <w:rPr>
          <w:rStyle w:val="CharStyle14"/>
          <w:lang w:val="en-US" w:eastAsia="en-US"/>
        </w:rPr>
        <w:t xml:space="preserve">- </w:t>
      </w:r>
      <w:r>
        <w:rPr>
          <w:rStyle w:val="CharStyle14"/>
        </w:rPr>
        <w:t>реестр).</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Положения Закона о контрактной системе не ограничивают комиссию по осуществлению закупок в проверке достоверности представленных документов, информации, сведений в составе заявки участника закупки путем принятия заказчиком зависящих от него разумных и законных мер.</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необходимости сведения, представленные в заявках участников, следует сверять с приведенными в реестре сведениями.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Указанная позиция обозначена ФАС России в письме от </w:t>
      </w:r>
      <w:r>
        <w:rPr>
          <w:rStyle w:val="CharStyle14"/>
          <w:lang w:val="en-US" w:eastAsia="en-US"/>
        </w:rPr>
        <w:t xml:space="preserve">26.05.2025 № </w:t>
      </w:r>
      <w:r>
        <w:rPr>
          <w:rStyle w:val="CharStyle14"/>
        </w:rPr>
        <w:t>ГР/48883/25.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Комиссией Коми УФАС России по результатам анализа сведений о предлагаемом заявителем медицинском изделии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уникальный номер реестровой записи </w:t>
      </w:r>
      <w:r>
        <w:rPr>
          <w:rStyle w:val="CharStyle14"/>
          <w:lang w:val="en-US" w:eastAsia="en-US"/>
        </w:rPr>
        <w:t xml:space="preserve">196545, </w:t>
      </w:r>
      <w:r>
        <w:rPr>
          <w:rStyle w:val="CharStyle14"/>
        </w:rPr>
        <w:t xml:space="preserve">регистрационный номер медицинского изделия РЗН </w:t>
      </w:r>
      <w:r>
        <w:rPr>
          <w:rStyle w:val="CharStyle14"/>
          <w:lang w:val="en-US" w:eastAsia="en-US"/>
        </w:rPr>
        <w:t xml:space="preserve">2023/21124, </w:t>
      </w:r>
      <w:r>
        <w:rPr>
          <w:rStyle w:val="CharStyle14"/>
        </w:rPr>
        <w:t>установлено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Наименование медицинского изделия: Система автоматическая микробиологическая серии </w:t>
      </w:r>
      <w:r>
        <w:rPr>
          <w:rStyle w:val="CharStyle14"/>
          <w:lang w:val="en-US" w:eastAsia="en-US"/>
        </w:rPr>
        <w:t xml:space="preserve">BC </w:t>
      </w:r>
      <w:r>
        <w:rPr>
          <w:rStyle w:val="CharStyle14"/>
        </w:rPr>
        <w:t xml:space="preserve">для </w:t>
      </w:r>
      <w:r>
        <w:rPr>
          <w:rStyle w:val="CharStyle14"/>
          <w:lang w:val="en-US" w:eastAsia="en-US"/>
        </w:rPr>
        <w:t xml:space="preserve">in vitro </w:t>
      </w:r>
      <w:r>
        <w:rPr>
          <w:rStyle w:val="CharStyle14"/>
        </w:rPr>
        <w:t>диагностики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варианте исполнения </w:t>
      </w:r>
      <w:r>
        <w:rPr>
          <w:rStyle w:val="CharStyle14"/>
          <w:lang w:val="en-US" w:eastAsia="en-US"/>
        </w:rPr>
        <w:t xml:space="preserve">I. </w:t>
      </w:r>
      <w:r>
        <w:rPr>
          <w:rStyle w:val="CharStyle14"/>
        </w:rPr>
        <w:t xml:space="preserve">Система автоматическая микробиологическая </w:t>
      </w:r>
      <w:r>
        <w:rPr>
          <w:rStyle w:val="CharStyle14"/>
          <w:lang w:val="en-US" w:eastAsia="en-US"/>
        </w:rPr>
        <w:t xml:space="preserve">BC60 </w:t>
      </w:r>
      <w:r>
        <w:rPr>
          <w:rStyle w:val="CharStyle14"/>
        </w:rPr>
        <w:t xml:space="preserve">для </w:t>
      </w:r>
      <w:r>
        <w:rPr>
          <w:rStyle w:val="CharStyle14"/>
          <w:lang w:val="en-US" w:eastAsia="en-US"/>
        </w:rPr>
        <w:t xml:space="preserve">in vitro </w:t>
      </w:r>
      <w:r>
        <w:rPr>
          <w:rStyle w:val="CharStyle14"/>
        </w:rPr>
        <w:t>диагностики, в составе:</w:t>
      </w:r>
    </w:p>
    <w:p>
      <w:pPr>
        <w:pStyle w:val="Style13"/>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4"/>
        </w:rPr>
        <w:t xml:space="preserve">Основной блок системы автоматической микробиологической </w:t>
      </w:r>
      <w:r>
        <w:rPr>
          <w:rStyle w:val="CharStyle14"/>
          <w:lang w:val="en-US" w:eastAsia="en-US"/>
        </w:rPr>
        <w:t xml:space="preserve">BC60 - 1 </w:t>
      </w:r>
      <w:r>
        <w:rPr>
          <w:rStyle w:val="CharStyle14"/>
        </w:rPr>
        <w:t>шт.</w:t>
      </w:r>
    </w:p>
    <w:p>
      <w:pPr>
        <w:pStyle w:val="Style13"/>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4"/>
        </w:rPr>
        <w:t xml:space="preserve">Кабель питания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087" w:val="left"/>
        </w:tabs>
        <w:bidi w:val="0"/>
        <w:spacing w:before="0" w:after="0" w:line="240" w:lineRule="auto"/>
        <w:ind w:left="0" w:right="0" w:firstLine="700"/>
        <w:jc w:val="both"/>
      </w:pPr>
      <w:r>
        <w:rPr>
          <w:rStyle w:val="CharStyle14"/>
        </w:rPr>
        <w:t xml:space="preserve">Руководство по эксплуатации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092" w:val="left"/>
        </w:tabs>
        <w:bidi w:val="0"/>
        <w:spacing w:before="0" w:after="0" w:line="240" w:lineRule="auto"/>
        <w:ind w:left="0" w:right="0" w:firstLine="700"/>
        <w:jc w:val="both"/>
      </w:pPr>
      <w:r>
        <w:rPr>
          <w:rStyle w:val="CharStyle14"/>
          <w:lang w:val="en-US" w:eastAsia="en-US"/>
        </w:rPr>
        <w:t xml:space="preserve">LAN </w:t>
      </w:r>
      <w:r>
        <w:rPr>
          <w:rStyle w:val="CharStyle14"/>
        </w:rPr>
        <w:t xml:space="preserve">кабель (сетевой шнур)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092" w:val="left"/>
        </w:tabs>
        <w:bidi w:val="0"/>
        <w:spacing w:before="0" w:after="0" w:line="240" w:lineRule="auto"/>
        <w:ind w:left="0" w:right="0" w:firstLine="700"/>
        <w:jc w:val="both"/>
      </w:pPr>
      <w:r>
        <w:rPr>
          <w:rStyle w:val="CharStyle14"/>
        </w:rPr>
        <w:t xml:space="preserve">Калибровочный стержень </w:t>
      </w:r>
      <w:r>
        <w:rPr>
          <w:rStyle w:val="CharStyle14"/>
          <w:lang w:val="en-US" w:eastAsia="en-US"/>
        </w:rPr>
        <w:t xml:space="preserve">- </w:t>
      </w:r>
      <w:r>
        <w:rPr>
          <w:rStyle w:val="CharStyle14"/>
        </w:rPr>
        <w:t xml:space="preserve">не более </w:t>
      </w:r>
      <w:r>
        <w:rPr>
          <w:rStyle w:val="CharStyle14"/>
          <w:lang w:val="en-US" w:eastAsia="en-US"/>
        </w:rPr>
        <w:t xml:space="preserve">10 </w:t>
      </w:r>
      <w:r>
        <w:rPr>
          <w:rStyle w:val="CharStyle14"/>
        </w:rPr>
        <w:t>шт.</w:t>
      </w:r>
    </w:p>
    <w:p>
      <w:pPr>
        <w:pStyle w:val="Style13"/>
        <w:keepNext w:val="0"/>
        <w:keepLines w:val="0"/>
        <w:widowControl w:val="0"/>
        <w:numPr>
          <w:ilvl w:val="0"/>
          <w:numId w:val="5"/>
        </w:numPr>
        <w:shd w:val="clear" w:color="auto" w:fill="auto"/>
        <w:tabs>
          <w:tab w:pos="1092" w:val="left"/>
        </w:tabs>
        <w:bidi w:val="0"/>
        <w:spacing w:before="0" w:after="0" w:line="240" w:lineRule="auto"/>
        <w:ind w:left="0" w:right="0" w:firstLine="700"/>
        <w:jc w:val="both"/>
      </w:pPr>
      <w:r>
        <w:rPr>
          <w:rStyle w:val="CharStyle14"/>
        </w:rPr>
        <w:t xml:space="preserve">Предохранитель </w:t>
      </w:r>
      <w:r>
        <w:rPr>
          <w:rStyle w:val="CharStyle14"/>
          <w:lang w:val="en-US" w:eastAsia="en-US"/>
        </w:rPr>
        <w:t xml:space="preserve">- 2 </w:t>
      </w:r>
      <w:r>
        <w:rPr>
          <w:rStyle w:val="CharStyle14"/>
        </w:rPr>
        <w:t>шт.</w:t>
      </w:r>
    </w:p>
    <w:p>
      <w:pPr>
        <w:pStyle w:val="Style13"/>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4"/>
        </w:rPr>
        <w:t xml:space="preserve">Планшетный ПК </w:t>
      </w:r>
      <w:r>
        <w:rPr>
          <w:rStyle w:val="CharStyle14"/>
          <w:lang w:val="en-US" w:eastAsia="en-US"/>
        </w:rPr>
        <w:t xml:space="preserve">- 1 </w:t>
      </w:r>
      <w:r>
        <w:rPr>
          <w:rStyle w:val="CharStyle14"/>
        </w:rPr>
        <w:t>шт. (при необходимости),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составе: </w:t>
      </w:r>
      <w:r>
        <w:rPr>
          <w:rStyle w:val="CharStyle14"/>
          <w:lang w:val="en-US" w:eastAsia="en-US"/>
        </w:rPr>
        <w:t xml:space="preserve">- </w:t>
      </w:r>
      <w:r>
        <w:rPr>
          <w:rStyle w:val="CharStyle14"/>
        </w:rPr>
        <w:t xml:space="preserve">планшетный ПК </w:t>
      </w:r>
      <w:r>
        <w:rPr>
          <w:rStyle w:val="CharStyle14"/>
          <w:lang w:val="en-US" w:eastAsia="en-US"/>
        </w:rPr>
        <w:t xml:space="preserve">- 1 </w:t>
      </w:r>
      <w:r>
        <w:rPr>
          <w:rStyle w:val="CharStyle14"/>
        </w:rPr>
        <w:t>шт.;</w:t>
      </w:r>
    </w:p>
    <w:p>
      <w:pPr>
        <w:pStyle w:val="Style13"/>
        <w:keepNext w:val="0"/>
        <w:keepLines w:val="0"/>
        <w:widowControl w:val="0"/>
        <w:numPr>
          <w:ilvl w:val="0"/>
          <w:numId w:val="7"/>
        </w:numPr>
        <w:shd w:val="clear" w:color="auto" w:fill="auto"/>
        <w:tabs>
          <w:tab w:pos="982" w:val="left"/>
        </w:tabs>
        <w:bidi w:val="0"/>
        <w:spacing w:before="0" w:after="0" w:line="240" w:lineRule="auto"/>
        <w:ind w:left="0" w:right="0" w:firstLine="700"/>
        <w:jc w:val="both"/>
      </w:pPr>
      <w:r>
        <w:rPr>
          <w:rStyle w:val="CharStyle14"/>
        </w:rPr>
        <w:t xml:space="preserve">блок питания планшетного ПК </w:t>
      </w:r>
      <w:r>
        <w:rPr>
          <w:rStyle w:val="CharStyle14"/>
          <w:lang w:val="en-US" w:eastAsia="en-US"/>
        </w:rPr>
        <w:t xml:space="preserve">- 1 </w:t>
      </w:r>
      <w:r>
        <w:rPr>
          <w:rStyle w:val="CharStyle14"/>
        </w:rPr>
        <w:t>шт.;</w:t>
      </w:r>
    </w:p>
    <w:p>
      <w:pPr>
        <w:pStyle w:val="Style13"/>
        <w:keepNext w:val="0"/>
        <w:keepLines w:val="0"/>
        <w:widowControl w:val="0"/>
        <w:numPr>
          <w:ilvl w:val="0"/>
          <w:numId w:val="7"/>
        </w:numPr>
        <w:shd w:val="clear" w:color="auto" w:fill="auto"/>
        <w:tabs>
          <w:tab w:pos="982" w:val="left"/>
        </w:tabs>
        <w:bidi w:val="0"/>
        <w:spacing w:before="0" w:after="0" w:line="240" w:lineRule="auto"/>
        <w:ind w:left="0" w:right="0" w:firstLine="700"/>
        <w:jc w:val="both"/>
      </w:pPr>
      <w:r>
        <w:rPr>
          <w:rStyle w:val="CharStyle14"/>
        </w:rPr>
        <w:t xml:space="preserve">кабель питания блока питания планшетного ПК- </w:t>
      </w:r>
      <w:r>
        <w:rPr>
          <w:rStyle w:val="CharStyle14"/>
          <w:lang w:val="en-US" w:eastAsia="en-US"/>
        </w:rPr>
        <w:t xml:space="preserve">1 </w:t>
      </w:r>
      <w:r>
        <w:rPr>
          <w:rStyle w:val="CharStyle14"/>
        </w:rPr>
        <w:t>шт.;</w:t>
      </w:r>
    </w:p>
    <w:p>
      <w:pPr>
        <w:pStyle w:val="Style13"/>
        <w:keepNext w:val="0"/>
        <w:keepLines w:val="0"/>
        <w:widowControl w:val="0"/>
        <w:numPr>
          <w:ilvl w:val="0"/>
          <w:numId w:val="7"/>
        </w:numPr>
        <w:shd w:val="clear" w:color="auto" w:fill="auto"/>
        <w:tabs>
          <w:tab w:pos="982" w:val="left"/>
        </w:tabs>
        <w:bidi w:val="0"/>
        <w:spacing w:before="0" w:after="0" w:line="240" w:lineRule="auto"/>
        <w:ind w:left="0" w:right="0" w:firstLine="700"/>
        <w:jc w:val="both"/>
      </w:pPr>
      <w:r>
        <w:rPr>
          <w:rStyle w:val="CharStyle14"/>
        </w:rPr>
        <w:t xml:space="preserve">клеммная колодка </w:t>
      </w:r>
      <w:r>
        <w:rPr>
          <w:rStyle w:val="CharStyle14"/>
          <w:lang w:val="en-US" w:eastAsia="en-US"/>
        </w:rPr>
        <w:t xml:space="preserve">- 1 </w:t>
      </w:r>
      <w:r>
        <w:rPr>
          <w:rStyle w:val="CharStyle14"/>
        </w:rPr>
        <w:t>шт.;</w:t>
      </w:r>
    </w:p>
    <w:p>
      <w:pPr>
        <w:pStyle w:val="Style13"/>
        <w:keepNext w:val="0"/>
        <w:keepLines w:val="0"/>
        <w:widowControl w:val="0"/>
        <w:numPr>
          <w:ilvl w:val="0"/>
          <w:numId w:val="7"/>
        </w:numPr>
        <w:shd w:val="clear" w:color="auto" w:fill="auto"/>
        <w:tabs>
          <w:tab w:pos="982" w:val="left"/>
        </w:tabs>
        <w:bidi w:val="0"/>
        <w:spacing w:before="0" w:after="0" w:line="240" w:lineRule="auto"/>
        <w:ind w:left="0" w:right="0" w:firstLine="700"/>
        <w:jc w:val="both"/>
      </w:pPr>
      <w:r>
        <w:rPr>
          <w:rStyle w:val="CharStyle14"/>
        </w:rPr>
        <w:t xml:space="preserve">кронштейн для планшетного ПК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4"/>
        </w:rPr>
        <w:t xml:space="preserve">Шестигранный ключ с поперечной рукояткой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4"/>
        </w:rPr>
        <w:t xml:space="preserve">Г-образный шестигранный ключ с поперечной рукояткой </w:t>
      </w:r>
      <w:r>
        <w:rPr>
          <w:rStyle w:val="CharStyle14"/>
          <w:lang w:val="en-US" w:eastAsia="en-US"/>
        </w:rPr>
        <w:t xml:space="preserve">- 1 </w:t>
      </w:r>
      <w:r>
        <w:rPr>
          <w:rStyle w:val="CharStyle14"/>
        </w:rPr>
        <w:t>шт.</w:t>
      </w:r>
    </w:p>
    <w:p>
      <w:pPr>
        <w:pStyle w:val="Style13"/>
        <w:keepNext w:val="0"/>
        <w:keepLines w:val="0"/>
        <w:widowControl w:val="0"/>
        <w:numPr>
          <w:ilvl w:val="0"/>
          <w:numId w:val="5"/>
        </w:numPr>
        <w:shd w:val="clear" w:color="auto" w:fill="auto"/>
        <w:tabs>
          <w:tab w:pos="1203" w:val="left"/>
        </w:tabs>
        <w:bidi w:val="0"/>
        <w:spacing w:before="0" w:after="0" w:line="240" w:lineRule="auto"/>
        <w:ind w:left="0" w:right="0" w:firstLine="700"/>
        <w:jc w:val="both"/>
      </w:pPr>
      <w:r>
        <w:rPr>
          <w:rStyle w:val="CharStyle14"/>
        </w:rPr>
        <w:t xml:space="preserve">Набор для установки кронштейна планшетного ПК (при необходимости), в составе: </w:t>
      </w:r>
      <w:r>
        <w:rPr>
          <w:rStyle w:val="CharStyle14"/>
          <w:lang w:val="en-US" w:eastAsia="en-US"/>
        </w:rPr>
        <w:t xml:space="preserve">- </w:t>
      </w:r>
      <w:r>
        <w:rPr>
          <w:rStyle w:val="CharStyle14"/>
        </w:rPr>
        <w:t xml:space="preserve">дюбель </w:t>
      </w:r>
      <w:r>
        <w:rPr>
          <w:rStyle w:val="CharStyle14"/>
          <w:lang w:val="en-US" w:eastAsia="en-US"/>
        </w:rPr>
        <w:t xml:space="preserve">- 2 </w:t>
      </w:r>
      <w:r>
        <w:rPr>
          <w:rStyle w:val="CharStyle14"/>
        </w:rPr>
        <w:t xml:space="preserve">шт.; </w:t>
      </w:r>
      <w:r>
        <w:rPr>
          <w:rStyle w:val="CharStyle14"/>
          <w:lang w:val="en-US" w:eastAsia="en-US"/>
        </w:rPr>
        <w:t xml:space="preserve">- </w:t>
      </w:r>
      <w:r>
        <w:rPr>
          <w:rStyle w:val="CharStyle14"/>
        </w:rPr>
        <w:t xml:space="preserve">крепежный шуруп </w:t>
      </w:r>
      <w:r>
        <w:rPr>
          <w:rStyle w:val="CharStyle14"/>
          <w:lang w:val="en-US" w:eastAsia="en-US"/>
        </w:rPr>
        <w:t xml:space="preserve">- 2 </w:t>
      </w:r>
      <w:r>
        <w:rPr>
          <w:rStyle w:val="CharStyle14"/>
        </w:rPr>
        <w:t xml:space="preserve">шт.; </w:t>
      </w:r>
      <w:r>
        <w:rPr>
          <w:rStyle w:val="CharStyle14"/>
          <w:lang w:val="en-US" w:eastAsia="en-US"/>
        </w:rPr>
        <w:t xml:space="preserve">- </w:t>
      </w:r>
      <w:r>
        <w:rPr>
          <w:rStyle w:val="CharStyle14"/>
        </w:rPr>
        <w:t xml:space="preserve">крепежный винт </w:t>
      </w:r>
      <w:r>
        <w:rPr>
          <w:rStyle w:val="CharStyle14"/>
          <w:lang w:val="en-US" w:eastAsia="en-US"/>
        </w:rPr>
        <w:t xml:space="preserve">- 4 </w:t>
      </w:r>
      <w:r>
        <w:rPr>
          <w:rStyle w:val="CharStyle14"/>
        </w:rPr>
        <w:t xml:space="preserve">шт.; </w:t>
      </w:r>
      <w:r>
        <w:rPr>
          <w:rStyle w:val="CharStyle14"/>
          <w:lang w:val="en-US" w:eastAsia="en-US"/>
        </w:rPr>
        <w:t xml:space="preserve">- </w:t>
      </w:r>
      <w:r>
        <w:rPr>
          <w:rStyle w:val="CharStyle14"/>
        </w:rPr>
        <w:t xml:space="preserve">винт с металлической шайбой </w:t>
      </w:r>
      <w:r>
        <w:rPr>
          <w:rStyle w:val="CharStyle14"/>
          <w:lang w:val="en-US" w:eastAsia="en-US"/>
        </w:rPr>
        <w:t xml:space="preserve">- 4 </w:t>
      </w:r>
      <w:r>
        <w:rPr>
          <w:rStyle w:val="CharStyle14"/>
        </w:rPr>
        <w:t xml:space="preserve">шт.; </w:t>
      </w:r>
      <w:r>
        <w:rPr>
          <w:rStyle w:val="CharStyle14"/>
          <w:lang w:val="en-US" w:eastAsia="en-US"/>
        </w:rPr>
        <w:t xml:space="preserve">- </w:t>
      </w:r>
      <w:r>
        <w:rPr>
          <w:rStyle w:val="CharStyle14"/>
        </w:rPr>
        <w:t xml:space="preserve">винт </w:t>
      </w:r>
      <w:r>
        <w:rPr>
          <w:rStyle w:val="CharStyle14"/>
          <w:lang w:val="en-US" w:eastAsia="en-US"/>
        </w:rPr>
        <w:t xml:space="preserve">- 2 </w:t>
      </w:r>
      <w:r>
        <w:rPr>
          <w:rStyle w:val="CharStyle14"/>
        </w:rPr>
        <w:t xml:space="preserve">шт.; </w:t>
      </w:r>
      <w:r>
        <w:rPr>
          <w:rStyle w:val="CharStyle14"/>
          <w:lang w:val="en-US" w:eastAsia="en-US"/>
        </w:rPr>
        <w:t xml:space="preserve">- </w:t>
      </w:r>
      <w:r>
        <w:rPr>
          <w:rStyle w:val="CharStyle14"/>
        </w:rPr>
        <w:t xml:space="preserve">резиновая прокладка округлой формы </w:t>
      </w:r>
      <w:r>
        <w:rPr>
          <w:rStyle w:val="CharStyle14"/>
          <w:lang w:val="en-US" w:eastAsia="en-US"/>
        </w:rPr>
        <w:t xml:space="preserve">- 2 </w:t>
      </w:r>
      <w:r>
        <w:rPr>
          <w:rStyle w:val="CharStyle14"/>
        </w:rPr>
        <w:t xml:space="preserve">шт.; </w:t>
      </w:r>
      <w:r>
        <w:rPr>
          <w:rStyle w:val="CharStyle14"/>
          <w:lang w:val="en-US" w:eastAsia="en-US"/>
        </w:rPr>
        <w:t xml:space="preserve">- </w:t>
      </w:r>
      <w:r>
        <w:rPr>
          <w:rStyle w:val="CharStyle14"/>
        </w:rPr>
        <w:t xml:space="preserve">пластиковые заглушки кронштейна для планшетного ПК </w:t>
      </w:r>
      <w:r>
        <w:rPr>
          <w:rStyle w:val="CharStyle14"/>
          <w:lang w:val="en-US" w:eastAsia="en-US"/>
        </w:rPr>
        <w:t xml:space="preserve">- 2 </w:t>
      </w:r>
      <w:r>
        <w:rPr>
          <w:rStyle w:val="CharStyle14"/>
        </w:rPr>
        <w:t xml:space="preserve">шт.; </w:t>
      </w:r>
      <w:r>
        <w:rPr>
          <w:rStyle w:val="CharStyle14"/>
          <w:lang w:val="en-US" w:eastAsia="en-US"/>
        </w:rPr>
        <w:t xml:space="preserve">- </w:t>
      </w:r>
      <w:r>
        <w:rPr>
          <w:rStyle w:val="CharStyle14"/>
        </w:rPr>
        <w:t>металлическая</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шайба </w:t>
      </w:r>
      <w:r>
        <w:rPr>
          <w:rStyle w:val="CharStyle14"/>
          <w:lang w:val="en-US" w:eastAsia="en-US"/>
        </w:rPr>
        <w:t xml:space="preserve">- 2 </w:t>
      </w:r>
      <w:r>
        <w:rPr>
          <w:rStyle w:val="CharStyle14"/>
        </w:rPr>
        <w:t>шт.</w:t>
      </w:r>
    </w:p>
    <w:p>
      <w:pPr>
        <w:pStyle w:val="Style13"/>
        <w:keepNext w:val="0"/>
        <w:keepLines w:val="0"/>
        <w:widowControl w:val="0"/>
        <w:numPr>
          <w:ilvl w:val="0"/>
          <w:numId w:val="5"/>
        </w:numPr>
        <w:shd w:val="clear" w:color="auto" w:fill="auto"/>
        <w:tabs>
          <w:tab w:pos="1134" w:val="left"/>
        </w:tabs>
        <w:bidi w:val="0"/>
        <w:spacing w:before="0" w:after="0" w:line="240" w:lineRule="auto"/>
        <w:ind w:left="0" w:right="0" w:firstLine="720"/>
        <w:jc w:val="both"/>
      </w:pPr>
      <w:r>
        <w:rPr>
          <w:rStyle w:val="CharStyle14"/>
        </w:rPr>
        <w:t xml:space="preserve">Сканер штрих-кодов </w:t>
      </w:r>
      <w:r>
        <w:rPr>
          <w:rStyle w:val="CharStyle14"/>
          <w:lang w:val="en-US" w:eastAsia="en-US"/>
        </w:rPr>
        <w:t xml:space="preserve">- </w:t>
      </w:r>
      <w:r>
        <w:rPr>
          <w:rStyle w:val="CharStyle14"/>
        </w:rPr>
        <w:t xml:space="preserve">(при необходимости), в составе: </w:t>
      </w:r>
      <w:r>
        <w:rPr>
          <w:rStyle w:val="CharStyle14"/>
          <w:lang w:val="en-US" w:eastAsia="en-US"/>
        </w:rPr>
        <w:t xml:space="preserve">- </w:t>
      </w:r>
      <w:r>
        <w:rPr>
          <w:rStyle w:val="CharStyle14"/>
        </w:rPr>
        <w:t xml:space="preserve">сканер штрих-кодов </w:t>
      </w:r>
      <w:r>
        <w:rPr>
          <w:rStyle w:val="CharStyle14"/>
          <w:lang w:val="en-US" w:eastAsia="en-US"/>
        </w:rPr>
        <w:t xml:space="preserve">- 1 </w:t>
      </w:r>
      <w:r>
        <w:rPr>
          <w:rStyle w:val="CharStyle14"/>
        </w:rPr>
        <w:t xml:space="preserve">шт.; </w:t>
      </w:r>
      <w:r>
        <w:rPr>
          <w:rStyle w:val="CharStyle14"/>
          <w:lang w:val="en-US" w:eastAsia="en-US"/>
        </w:rPr>
        <w:t xml:space="preserve">- </w:t>
      </w:r>
      <w:r>
        <w:rPr>
          <w:rStyle w:val="CharStyle14"/>
        </w:rPr>
        <w:t xml:space="preserve">подставка для сканера </w:t>
      </w:r>
      <w:r>
        <w:rPr>
          <w:rStyle w:val="CharStyle14"/>
          <w:lang w:val="en-US" w:eastAsia="en-US"/>
        </w:rPr>
        <w:t xml:space="preserve">- 1 </w:t>
      </w:r>
      <w:r>
        <w:rPr>
          <w:rStyle w:val="CharStyle14"/>
        </w:rPr>
        <w:t xml:space="preserve">шт.; </w:t>
      </w:r>
      <w:r>
        <w:rPr>
          <w:rStyle w:val="CharStyle14"/>
          <w:lang w:val="en-US" w:eastAsia="en-US"/>
        </w:rPr>
        <w:t xml:space="preserve">- USB-шнур - 1 </w:t>
      </w:r>
      <w:r>
        <w:rPr>
          <w:rStyle w:val="CharStyle14"/>
        </w:rPr>
        <w:t>шт.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Принадлежности: </w:t>
      </w:r>
      <w:r>
        <w:rPr>
          <w:rStyle w:val="CharStyle14"/>
          <w:lang w:val="en-US" w:eastAsia="en-US"/>
        </w:rPr>
        <w:t xml:space="preserve">1. </w:t>
      </w:r>
      <w:r>
        <w:rPr>
          <w:rStyle w:val="CharStyle14"/>
        </w:rPr>
        <w:t xml:space="preserve">Фиксирующая рейка </w:t>
      </w:r>
      <w:r>
        <w:rPr>
          <w:rStyle w:val="CharStyle14"/>
          <w:lang w:val="en-US" w:eastAsia="en-US"/>
        </w:rPr>
        <w:t xml:space="preserve">- </w:t>
      </w:r>
      <w:r>
        <w:rPr>
          <w:rStyle w:val="CharStyle14"/>
        </w:rPr>
        <w:t xml:space="preserve">не более </w:t>
      </w:r>
      <w:r>
        <w:rPr>
          <w:rStyle w:val="CharStyle14"/>
          <w:lang w:val="en-US" w:eastAsia="en-US"/>
        </w:rPr>
        <w:t xml:space="preserve">6 </w:t>
      </w:r>
      <w:r>
        <w:rPr>
          <w:rStyle w:val="CharStyle14"/>
        </w:rPr>
        <w:t>шт.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Аналогичный состав медицинского изделия определен в руководстве по эксплуатации медицинского изделия на систему автоматичесую микробиологическую </w:t>
      </w:r>
      <w:r>
        <w:rPr>
          <w:rStyle w:val="CharStyle14"/>
          <w:lang w:val="en-US" w:eastAsia="en-US"/>
        </w:rPr>
        <w:t xml:space="preserve">BC60 </w:t>
      </w:r>
      <w:r>
        <w:rPr>
          <w:rStyle w:val="CharStyle14"/>
        </w:rPr>
        <w:t xml:space="preserve">для </w:t>
      </w:r>
      <w:r>
        <w:rPr>
          <w:rStyle w:val="CharStyle14"/>
          <w:lang w:val="en-US" w:eastAsia="en-US"/>
        </w:rPr>
        <w:t xml:space="preserve">in vitro </w:t>
      </w:r>
      <w:r>
        <w:rPr>
          <w:rStyle w:val="CharStyle14"/>
        </w:rPr>
        <w:t xml:space="preserve">диагностики, размещенном в уникальном номере реестровой записи </w:t>
      </w:r>
      <w:r>
        <w:rPr>
          <w:rStyle w:val="CharStyle14"/>
          <w:lang w:val="en-US" w:eastAsia="en-US"/>
        </w:rPr>
        <w:t>196545.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наличие указанных в структурированной заявке на участие в закупке значений показателей предлагаемого к поставке товара: монитор со шнуром питания </w:t>
      </w:r>
      <w:r>
        <w:rPr>
          <w:rStyle w:val="CharStyle14"/>
          <w:lang w:val="en-US" w:eastAsia="en-US"/>
        </w:rPr>
        <w:t xml:space="preserve">- </w:t>
      </w:r>
      <w:r>
        <w:rPr>
          <w:rStyle w:val="CharStyle14"/>
        </w:rPr>
        <w:t xml:space="preserve">да, клавиатура </w:t>
      </w:r>
      <w:r>
        <w:rPr>
          <w:rStyle w:val="CharStyle14"/>
          <w:lang w:val="en-US" w:eastAsia="en-US"/>
        </w:rPr>
        <w:t xml:space="preserve">- </w:t>
      </w:r>
      <w:r>
        <w:rPr>
          <w:rStyle w:val="CharStyle14"/>
        </w:rPr>
        <w:t xml:space="preserve">да, манипулятор типа «мышь» </w:t>
      </w:r>
      <w:r>
        <w:rPr>
          <w:rStyle w:val="CharStyle14"/>
          <w:lang w:val="en-US" w:eastAsia="en-US"/>
        </w:rPr>
        <w:t xml:space="preserve">- </w:t>
      </w:r>
      <w:r>
        <w:rPr>
          <w:rStyle w:val="CharStyle14"/>
        </w:rPr>
        <w:t>да, не подтверждаются сведениями с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Коми УФАС России считает необходимым отметить, что наличие компьютера и монитора со шнуром питани</w:t>
      </w:r>
      <w:r>
        <w:rPr>
          <w:rStyle w:val="CharStyle14"/>
          <w:sz w:val="24"/>
          <w:szCs w:val="24"/>
        </w:rPr>
        <w:t xml:space="preserve">я </w:t>
      </w:r>
      <w:r>
        <w:rPr>
          <w:rStyle w:val="CharStyle14"/>
        </w:rPr>
        <w:t>выделены в две разные характеристики, в соответствии с описанием объекта закупки они являются двумя разными единицами комплектности требуемого заказчику оборудования, в связи с чем довод заявителя о том, что планшетный ПК, имея экран, выполняющий функции монитора, соответствует требованиям извещения, не может быть признан состоятельным.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данном случае трактовка требований в пользу участника недопустима, так как они сформулированы однозначно: «компьютер», «сетевой шнур питания компьютера» и «монитор со шнуром питания».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Также необходимо отметить, что монитор со шнуром питания, клавиатура, манипулятор типа «мышь» не выделены в отдельные самостоятельные позиции описания объекта закупки, так как являются частью единого оборудования, которые совместно при подключении их с анализатором к компьютеру выполняют функцию управления процессами анализатора.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Отсутствие в эксплуатационной документации на медицинское изделие информации о наличии в комплектности оборудования монитора со шнуром питания, клавиатуры, манипулятора типа «мышь», или о необходимости наличия данных устройств для работы медицинского изделия при его эксплуатации, может свидетельствовать, что данное медицинское изделие не нуждается в них при выполнении своих функций.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ГБУ РК «Служба единого заказчика Республики Коми» в письме от </w:t>
      </w:r>
      <w:r>
        <w:rPr>
          <w:rStyle w:val="CharStyle14"/>
          <w:lang w:val="en-US" w:eastAsia="en-US"/>
        </w:rPr>
        <w:t>15.05.2026 № 03</w:t>
        <w:softHyphen/>
        <w:t xml:space="preserve">03/129 </w:t>
      </w:r>
      <w:r>
        <w:rPr>
          <w:rStyle w:val="CharStyle14"/>
        </w:rPr>
        <w:t xml:space="preserve">(вх. от </w:t>
      </w:r>
      <w:r>
        <w:rPr>
          <w:rStyle w:val="CharStyle14"/>
          <w:lang w:val="en-US" w:eastAsia="en-US"/>
        </w:rPr>
        <w:t xml:space="preserve">15.05.2026 № </w:t>
      </w:r>
      <w:r>
        <w:rPr>
          <w:rStyle w:val="CharStyle14"/>
        </w:rPr>
        <w:t>5169-ЭП/26) обозначило, что указание в описании объекта закупки требования о наличии в составе закупаемого оборудования компьютера, сетевого шнура питания компьютера, монитора со шнуром питания, клавиатуры, манипулятора типа «мышь» является отражением потребности заказчика в том, каким образом должна быть реализована функция управления процессами, хранения и отображения данных в закупаемом медицинском изделии.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Исходя из установленных заказчиком требований к комплектности товар следует, что компьютер, требуемый в рамках закупки, представляет из себя стационарный системный блок, к которому подключают основной модуль анализатора, монитор, клавиатуру, манипулятор типа «мышь», в ином случае, при оснащении анализатора планшетным ПК, как предлагает заявитель, необходимость в таких комплектующих как монитор со шнуром питания, клавиатура, манипулятор типа «мышь» исключается, поскольку планшетный ПК один выполняет функции управления процессами, хранения и отображения данных, что</w:t>
      </w:r>
      <w:r>
        <w:br w:type="page"/>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указано в руководстве по эксплуатации на медицинское изделие «Система автоматическая микробиологическая </w:t>
      </w:r>
      <w:r>
        <w:rPr>
          <w:rStyle w:val="CharStyle14"/>
          <w:lang w:val="en-US" w:eastAsia="en-US"/>
        </w:rPr>
        <w:t xml:space="preserve">BC60 </w:t>
      </w:r>
      <w:r>
        <w:rPr>
          <w:rStyle w:val="CharStyle14"/>
        </w:rPr>
        <w:t xml:space="preserve">для </w:t>
      </w:r>
      <w:r>
        <w:rPr>
          <w:rStyle w:val="CharStyle14"/>
          <w:lang w:val="en-US" w:eastAsia="en-US"/>
        </w:rPr>
        <w:t xml:space="preserve">in vitro </w:t>
      </w:r>
      <w:r>
        <w:rPr>
          <w:rStyle w:val="CharStyle14"/>
        </w:rPr>
        <w:t>диагностики».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Заказчиком указано, что компьютер и планшет </w:t>
      </w:r>
      <w:r>
        <w:rPr>
          <w:rStyle w:val="CharStyle14"/>
          <w:lang w:val="en-US" w:eastAsia="en-US"/>
        </w:rPr>
        <w:t xml:space="preserve">- </w:t>
      </w:r>
      <w:r>
        <w:rPr>
          <w:rStyle w:val="CharStyle14"/>
        </w:rPr>
        <w:t>разные типы устройств, предназначенные для решения различных задач. Замена одного на другое может нарушить технологические процессы, учтенные проектно-сметной документацией (ПСД), так как ПСД определено оборудование, имеющее именно ту комплектность оборудования, которая изложена в описании объекта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Учитывая вышеуказанные обстоятельства, достоверность сведений, представленных участником закупки в заявке на участие в запросе котировок в электронной форме, не подтверждена.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Действие комиссии уполномоченного учреждения </w:t>
      </w:r>
      <w:r>
        <w:rPr>
          <w:rStyle w:val="CharStyle14"/>
          <w:lang w:val="en-US" w:eastAsia="en-US"/>
        </w:rPr>
        <w:t xml:space="preserve">- </w:t>
      </w:r>
      <w:r>
        <w:rPr>
          <w:rStyle w:val="CharStyle14"/>
        </w:rPr>
        <w:t xml:space="preserve">ГКУ РК «ЦООиПТ» при рассмотрении заявок на участие в закупке, в части принятия решения относительно отклонения заявки заявителя, оформленное в протоколе подведения итогов определения поставщика (подрядчика, исполнителя) от </w:t>
      </w:r>
      <w:r>
        <w:rPr>
          <w:rStyle w:val="CharStyle14"/>
          <w:lang w:val="en-US" w:eastAsia="en-US"/>
        </w:rPr>
        <w:t xml:space="preserve">08.05.2026 </w:t>
      </w:r>
      <w:r>
        <w:rPr>
          <w:rStyle w:val="CharStyle14"/>
        </w:rPr>
        <w:t xml:space="preserve">№ИЗК1, не противоречит подпункту «а»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50, </w:t>
      </w:r>
      <w:r>
        <w:rPr>
          <w:rStyle w:val="CharStyle14"/>
        </w:rPr>
        <w:t xml:space="preserve">пункту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820"/>
        <w:jc w:val="both"/>
      </w:pPr>
      <w:r>
        <w:rPr>
          <w:rStyle w:val="CharStyle14"/>
        </w:rPr>
        <w:t>По результатам внеплановой проверки закупки нарушения Закона о контрактной системе не установлены.</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w:t>
      </w:r>
      <w:r>
        <w:rPr>
          <w:rStyle w:val="CharStyle14"/>
          <w:lang w:val="en-US" w:eastAsia="en-US"/>
        </w:rPr>
        <w:t xml:space="preserve">2 </w:t>
      </w:r>
      <w:r>
        <w:rPr>
          <w:rStyle w:val="CharStyle14"/>
        </w:rPr>
        <w:t xml:space="preserve">части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 xml:space="preserve">настоящего Федерального закона, о совершении иных действий, предусмотренных частью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настоящего Федерального закона.</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 xml:space="preserve">С учетом всех изложенных обстоятельств, установленных в ходе рассмотрения жалобы, руководствуясь 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РЕШИЛА:</w:t>
      </w:r>
    </w:p>
    <w:p>
      <w:pPr>
        <w:pStyle w:val="Style13"/>
        <w:keepNext w:val="0"/>
        <w:keepLines w:val="0"/>
        <w:widowControl w:val="0"/>
        <w:numPr>
          <w:ilvl w:val="0"/>
          <w:numId w:val="9"/>
        </w:numPr>
        <w:shd w:val="clear" w:color="auto" w:fill="auto"/>
        <w:tabs>
          <w:tab w:pos="1094" w:val="left"/>
        </w:tabs>
        <w:bidi w:val="0"/>
        <w:spacing w:before="0" w:after="0" w:line="240" w:lineRule="auto"/>
        <w:ind w:left="0" w:right="0" w:firstLine="700"/>
        <w:jc w:val="both"/>
      </w:pPr>
      <w:r>
        <w:rPr>
          <w:rStyle w:val="CharStyle14"/>
        </w:rPr>
        <w:t>Признать жалобу необоснованной.</w:t>
      </w:r>
    </w:p>
    <w:p>
      <w:pPr>
        <w:pStyle w:val="Style13"/>
        <w:keepNext w:val="0"/>
        <w:keepLines w:val="0"/>
        <w:widowControl w:val="0"/>
        <w:numPr>
          <w:ilvl w:val="0"/>
          <w:numId w:val="9"/>
        </w:numPr>
        <w:shd w:val="clear" w:color="auto" w:fill="auto"/>
        <w:tabs>
          <w:tab w:pos="1059" w:val="left"/>
        </w:tabs>
        <w:bidi w:val="0"/>
        <w:spacing w:before="0" w:after="0" w:line="240" w:lineRule="auto"/>
        <w:ind w:left="0" w:right="0" w:firstLine="700"/>
        <w:jc w:val="both"/>
      </w:pPr>
      <w:r>
        <w:rPr>
          <w:rStyle w:val="CharStyle14"/>
        </w:rPr>
        <w:t>По результатам рассмотрения жалобы и проведения внеплановой проверки закупки нарушения Закона о контрактной системе не установлены.</w:t>
      </w:r>
    </w:p>
    <w:p>
      <w:pPr>
        <w:pStyle w:val="Style13"/>
        <w:keepNext w:val="0"/>
        <w:keepLines w:val="0"/>
        <w:widowControl w:val="0"/>
        <w:numPr>
          <w:ilvl w:val="0"/>
          <w:numId w:val="9"/>
        </w:numPr>
        <w:shd w:val="clear" w:color="auto" w:fill="auto"/>
        <w:tabs>
          <w:tab w:pos="1054" w:val="left"/>
        </w:tabs>
        <w:bidi w:val="0"/>
        <w:spacing w:before="0" w:after="260" w:line="240" w:lineRule="auto"/>
        <w:ind w:left="0" w:right="0" w:firstLine="700"/>
        <w:jc w:val="both"/>
      </w:pPr>
      <w:r>
        <w:rPr>
          <w:rStyle w:val="CharStyle14"/>
        </w:rPr>
        <w:t>С учетом того, что нарушения законодательства о контрактной системе Российской Федерации в сфере закупок при осуществлении закупки не установлены, предписание не выдавать.</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части </w:t>
      </w:r>
      <w:r>
        <w:rPr>
          <w:rStyle w:val="CharStyle14"/>
          <w:lang w:val="en-US" w:eastAsia="en-US"/>
        </w:rPr>
        <w:t xml:space="preserve">9 </w:t>
      </w:r>
      <w:r>
        <w:rPr>
          <w:rStyle w:val="CharStyle14"/>
        </w:rPr>
        <w:t xml:space="preserve">статьи </w:t>
      </w:r>
      <w:r>
        <w:rPr>
          <w:rStyle w:val="CharStyle14"/>
          <w:lang w:val="en-US" w:eastAsia="en-US"/>
        </w:rPr>
        <w:t xml:space="preserve">106 </w:t>
      </w:r>
      <w:r>
        <w:rPr>
          <w:rStyle w:val="CharStyle14"/>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292100" distB="127635" distL="0" distR="0" simplePos="0" relativeHeight="125829381" behindDoc="0" locked="0" layoutInCell="1" allowOverlap="1">
                <wp:simplePos x="0" y="0"/>
                <wp:positionH relativeFrom="page">
                  <wp:posOffset>741045</wp:posOffset>
                </wp:positionH>
                <wp:positionV relativeFrom="paragraph">
                  <wp:posOffset>292100</wp:posOffset>
                </wp:positionV>
                <wp:extent cx="1697990" cy="234950"/>
                <wp:wrapTopAndBottom/>
                <wp:docPr id="13" name="Shape 13"/>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350000000000001pt;margin-top:23.pt;width:133.69999999999999pt;height:18.5pt;z-index:-125829372;mso-wrap-distance-left:0;mso-wrap-distance-top:23.pt;mso-wrap-distance-right:0;mso-wrap-distance-bottom:10.0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310515" distB="0" distL="0" distR="1816735" simplePos="0" relativeHeight="125829383" behindDoc="0" locked="0" layoutInCell="1" allowOverlap="1">
            <wp:simplePos x="0" y="0"/>
            <wp:positionH relativeFrom="page">
              <wp:posOffset>2688590</wp:posOffset>
            </wp:positionH>
            <wp:positionV relativeFrom="paragraph">
              <wp:posOffset>310515</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3078480</wp:posOffset>
                </wp:positionH>
                <wp:positionV relativeFrom="paragraph">
                  <wp:posOffset>371475</wp:posOffset>
                </wp:positionV>
                <wp:extent cx="1722120" cy="265430"/>
                <wp:wrapNone/>
                <wp:docPr id="17" name="Shape 17"/>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40000000000001pt;margin-top:29.25pt;width:135.59999999999999pt;height:20.9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127635" distL="0" distR="0" simplePos="0" relativeHeight="125829384" behindDoc="0" locked="0" layoutInCell="1" allowOverlap="1">
                <wp:simplePos x="0" y="0"/>
                <wp:positionH relativeFrom="page">
                  <wp:posOffset>6102350</wp:posOffset>
                </wp:positionH>
                <wp:positionV relativeFrom="paragraph">
                  <wp:posOffset>292100</wp:posOffset>
                </wp:positionV>
                <wp:extent cx="1085215" cy="234950"/>
                <wp:wrapTopAndBottom/>
                <wp:docPr id="19" name="Shape 19"/>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wps:txbx>
                      <wps:bodyPr wrap="none" lIns="0" tIns="0" rIns="0" bIns="0">
                        <a:noAutoFit/>
                      </wps:bodyPr>
                    </wps:wsp>
                  </a:graphicData>
                </a:graphic>
              </wp:anchor>
            </w:drawing>
          </mc:Choice>
          <mc:Fallback>
            <w:pict>
              <v:shape id="_x0000_s1045" type="#_x0000_t202" style="position:absolute;margin-left:480.5pt;margin-top:23.pt;width:85.450000000000003pt;height:18.5pt;z-index:-125829369;mso-wrap-distance-left:0;mso-wrap-distance-top:23.pt;mso-wrap-distance-right:0;mso-wrap-distance-bottom:10.0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66" w:lineRule="auto"/>
        <w:ind w:left="3100" w:right="0" w:firstLine="0"/>
        <w:jc w:val="left"/>
      </w:pPr>
      <w:r>
        <w:rPr>
          <w:rStyle w:val="CharStyle27"/>
        </w:rPr>
        <w:t xml:space="preserve">Кому выдан: </w:t>
      </w:r>
      <w:r>
        <w:rPr>
          <w:rStyle w:val="CharStyle27"/>
          <w:color w:val="000000"/>
        </w:rPr>
        <w:t xml:space="preserve">Гуревская Наталия Владимировна </w:t>
      </w:r>
      <w:r>
        <w:rPr>
          <w:rStyle w:val="CharStyle27"/>
        </w:rPr>
        <w:t xml:space="preserve">Сертификат </w:t>
      </w:r>
      <w:r>
        <w:rPr>
          <w:rStyle w:val="CharStyle27"/>
          <w:color w:val="292929"/>
        </w:rPr>
        <w:t xml:space="preserve">№ </w:t>
      </w:r>
      <w:r>
        <w:rPr>
          <w:rStyle w:val="CharStyle27"/>
          <w:lang w:val="en-US" w:eastAsia="en-US"/>
        </w:rPr>
        <w:t>2347F628F828AC4802CDBF5652031A3F</w:t>
      </w:r>
    </w:p>
    <w:p>
      <w:pPr>
        <w:pStyle w:val="Style26"/>
        <w:keepNext w:val="0"/>
        <w:keepLines w:val="0"/>
        <w:widowControl w:val="0"/>
        <w:shd w:val="clear" w:color="auto" w:fill="auto"/>
        <w:bidi w:val="0"/>
        <w:spacing w:before="0" w:after="40" w:line="266" w:lineRule="auto"/>
        <w:ind w:left="3100" w:right="0" w:firstLine="0"/>
        <w:jc w:val="left"/>
        <w:sectPr>
          <w:headerReference w:type="default" r:id="rId15"/>
          <w:footerReference w:type="default" r:id="rId16"/>
          <w:footnotePr>
            <w:pos w:val="pageBottom"/>
            <w:numFmt w:val="decimal"/>
            <w:numRestart w:val="continuous"/>
          </w:footnotePr>
          <w:pgSz w:w="11900" w:h="16840"/>
          <w:pgMar w:top="1662" w:right="538" w:bottom="1350" w:left="1104" w:header="0" w:footer="3" w:gutter="0"/>
          <w:cols w:space="720"/>
          <w:noEndnote/>
          <w:rtlGutter w:val="0"/>
          <w:docGrid w:linePitch="360"/>
        </w:sectPr>
      </w:pPr>
      <w:r>
        <w:rPr>
          <w:rStyle w:val="CharStyle27"/>
        </w:rPr>
        <w:t>Действителен с 22.12.2025 по 17.03.2027</w:t>
      </w:r>
    </w:p>
    <w:p>
      <w:pPr>
        <w:widowControl w:val="0"/>
        <w:spacing w:line="219" w:lineRule="exact"/>
        <w:rPr>
          <w:sz w:val="18"/>
          <w:szCs w:val="18"/>
        </w:rPr>
      </w:pPr>
    </w:p>
    <w:p>
      <w:pPr>
        <w:widowControl w:val="0"/>
        <w:spacing w:line="1" w:lineRule="exact"/>
        <w:sectPr>
          <w:footnotePr>
            <w:pos w:val="pageBottom"/>
            <w:numFmt w:val="decimal"/>
            <w:numRestart w:val="continuous"/>
          </w:footnotePr>
          <w:pgSz w:w="11900" w:h="16840"/>
          <w:pgMar w:top="1459" w:right="575" w:bottom="1176" w:left="1135" w:header="0" w:footer="3" w:gutter="0"/>
          <w:cols w:space="720"/>
          <w:noEndnote/>
          <w:rtlGutter w:val="0"/>
          <w:docGrid w:linePitch="360"/>
        </w:sectPr>
      </w:pPr>
    </w:p>
    <w:p>
      <w:pPr>
        <w:pStyle w:val="Style13"/>
        <w:keepNext w:val="0"/>
        <w:keepLines w:val="0"/>
        <w:framePr w:w="1968" w:h="370" w:wrap="none" w:vAnchor="text" w:hAnchor="page" w:x="1160" w:y="21"/>
        <w:widowControl w:val="0"/>
        <w:shd w:val="clear" w:color="auto" w:fill="auto"/>
        <w:bidi w:val="0"/>
        <w:spacing w:before="0" w:after="0" w:line="240" w:lineRule="auto"/>
        <w:ind w:left="0" w:right="0" w:firstLine="0"/>
        <w:jc w:val="left"/>
      </w:pPr>
      <w:r>
        <w:rPr>
          <w:rStyle w:val="CharStyle14"/>
        </w:rPr>
        <w:t>Члены комиссии:</w:t>
      </w:r>
    </w:p>
    <w:p>
      <w:pPr>
        <w:pStyle w:val="Style22"/>
        <w:keepNext w:val="0"/>
        <w:keepLines w:val="0"/>
        <w:framePr w:w="2712" w:h="418" w:wrap="none" w:vAnchor="text" w:hAnchor="page" w:x="4846" w:y="961"/>
        <w:widowControl w:val="0"/>
        <w:shd w:val="clear" w:color="auto" w:fill="auto"/>
        <w:bidi w:val="0"/>
        <w:spacing w:before="0" w:after="0"/>
        <w:ind w:left="0" w:right="0" w:firstLine="0"/>
        <w:jc w:val="left"/>
      </w:pPr>
      <w:r>
        <w:rPr>
          <w:rStyle w:val="CharStyle23"/>
          <w:b/>
          <w:bCs/>
        </w:rPr>
        <w:t>Подлинник электронного документа, подписанного ЭП, хранится в системе электронного документооборота ФАС России</w:t>
      </w:r>
    </w:p>
    <w:p>
      <w:pPr>
        <w:pStyle w:val="Style13"/>
        <w:keepNext w:val="0"/>
        <w:keepLines w:val="0"/>
        <w:framePr w:w="1560" w:h="370" w:wrap="none" w:vAnchor="text" w:hAnchor="page" w:x="9766" w:y="1009"/>
        <w:widowControl w:val="0"/>
        <w:shd w:val="clear" w:color="auto" w:fill="auto"/>
        <w:bidi w:val="0"/>
        <w:spacing w:before="0" w:after="0" w:line="240" w:lineRule="auto"/>
        <w:ind w:left="0" w:right="0" w:firstLine="0"/>
        <w:jc w:val="right"/>
      </w:pPr>
      <w:r>
        <w:rPr>
          <w:rStyle w:val="CharStyle14"/>
        </w:rPr>
        <w:t>А.В. Оверина</w:t>
      </w:r>
    </w:p>
    <w:p>
      <w:pPr>
        <w:widowControl w:val="0"/>
        <w:spacing w:line="360" w:lineRule="exact"/>
      </w:pPr>
      <w:r>
        <w:drawing>
          <wp:anchor distT="0" distB="0" distL="0" distR="1816735" simplePos="0" relativeHeight="62914702" behindDoc="1" locked="0" layoutInCell="1" allowOverlap="1">
            <wp:simplePos x="0" y="0"/>
            <wp:positionH relativeFrom="page">
              <wp:posOffset>2686685</wp:posOffset>
            </wp:positionH>
            <wp:positionV relativeFrom="paragraph">
              <wp:posOffset>548640</wp:posOffset>
            </wp:positionV>
            <wp:extent cx="298450" cy="347345"/>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298450" cy="347345"/>
                    </a:xfrm>
                    <a:prstGeom prst="rect"/>
                  </pic:spPr>
                </pic:pic>
              </a:graphicData>
            </a:graphic>
          </wp:anchor>
        </w:drawing>
      </w:r>
    </w:p>
    <w:p>
      <w:pPr>
        <w:widowControl w:val="0"/>
        <w:spacing w:line="360" w:lineRule="exact"/>
      </w:pPr>
    </w:p>
    <w:p>
      <w:pPr>
        <w:widowControl w:val="0"/>
        <w:spacing w:after="685" w:line="1" w:lineRule="exact"/>
      </w:pPr>
    </w:p>
    <w:p>
      <w:pPr>
        <w:widowControl w:val="0"/>
        <w:spacing w:line="1" w:lineRule="exact"/>
        <w:sectPr>
          <w:footnotePr>
            <w:pos w:val="pageBottom"/>
            <w:numFmt w:val="decimal"/>
            <w:numRestart w:val="continuous"/>
          </w:footnotePr>
          <w:type w:val="continuous"/>
          <w:pgSz w:w="11900" w:h="16840"/>
          <w:pgMar w:top="1459" w:right="575" w:bottom="1176" w:left="1135" w:header="0" w:footer="3" w:gutter="0"/>
          <w:cols w:space="720"/>
          <w:noEndnote/>
          <w:rtlGutter w:val="0"/>
          <w:docGrid w:linePitch="360"/>
        </w:sectPr>
      </w:pP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720"/>
        <w:jc w:val="left"/>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Оверина Анна Владимировна</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Сертификат </w:t>
      </w:r>
      <w:r>
        <w:rPr>
          <w:rStyle w:val="CharStyle27"/>
          <w:color w:val="292929"/>
        </w:rPr>
        <w:t xml:space="preserve">№ </w:t>
      </w:r>
      <w:r>
        <w:rPr>
          <w:rStyle w:val="CharStyle27"/>
          <w:lang w:val="en-US" w:eastAsia="en-US"/>
        </w:rPr>
        <w:t>349ACC69A793B575EA958DD2877CBF88</w:t>
      </w:r>
    </w:p>
    <w:p>
      <w:pPr>
        <w:pStyle w:val="Style26"/>
        <w:keepNext w:val="0"/>
        <w:keepLines w:val="0"/>
        <w:widowControl w:val="0"/>
        <w:shd w:val="clear" w:color="auto" w:fill="auto"/>
        <w:bidi w:val="0"/>
        <w:spacing w:before="0" w:after="0" w:line="240" w:lineRule="auto"/>
        <w:ind w:left="0" w:right="0" w:firstLine="0"/>
        <w:jc w:val="left"/>
      </w:pPr>
      <w:r>
        <w:rPr>
          <w:rStyle w:val="CharStyle27"/>
        </w:rPr>
        <w:t>Действителен с 26.12.2025 по 21.03.2027</w:t>
      </w:r>
    </w:p>
    <w:p>
      <w:pPr>
        <w:widowControl w:val="0"/>
        <w:spacing w:line="1" w:lineRule="exact"/>
        <w:sectPr>
          <w:footnotePr>
            <w:pos w:val="pageBottom"/>
            <w:numFmt w:val="decimal"/>
            <w:numRestart w:val="continuous"/>
          </w:footnotePr>
          <w:type w:val="continuous"/>
          <w:pgSz w:w="11900" w:h="16840"/>
          <w:pgMar w:top="1719" w:right="4352" w:bottom="10719" w:left="4202" w:header="0" w:footer="3" w:gutter="0"/>
          <w:cols w:space="720"/>
          <w:noEndnote/>
          <w:rtlGutter w:val="0"/>
          <w:docGrid w:linePitch="360"/>
        </w:sectPr>
      </w:pPr>
      <w:r>
        <w:drawing>
          <wp:anchor distT="508000" distB="12700" distL="0" distR="1816735" simplePos="0" relativeHeight="125829386" behindDoc="0" locked="0" layoutInCell="1" allowOverlap="1">
            <wp:simplePos x="0" y="0"/>
            <wp:positionH relativeFrom="page">
              <wp:posOffset>2686685</wp:posOffset>
            </wp:positionH>
            <wp:positionV relativeFrom="paragraph">
              <wp:posOffset>508000</wp:posOffset>
            </wp:positionV>
            <wp:extent cx="298450" cy="347345"/>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568960</wp:posOffset>
                </wp:positionV>
                <wp:extent cx="1722120" cy="265430"/>
                <wp:wrapNone/>
                <wp:docPr id="29" name="Shape 29"/>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25pt;margin-top:44.800000000000004pt;width:135.59999999999999pt;height:20.9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11505" distB="635" distL="0" distR="0" simplePos="0" relativeHeight="125829387" behindDoc="0" locked="0" layoutInCell="1" allowOverlap="1">
                <wp:simplePos x="0" y="0"/>
                <wp:positionH relativeFrom="page">
                  <wp:posOffset>6002655</wp:posOffset>
                </wp:positionH>
                <wp:positionV relativeFrom="paragraph">
                  <wp:posOffset>611505</wp:posOffset>
                </wp:positionV>
                <wp:extent cx="1182370" cy="252730"/>
                <wp:wrapTopAndBottom/>
                <wp:docPr id="31" name="Shape 31"/>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rPr>
                                <w:sz w:val="28"/>
                                <w:szCs w:val="28"/>
                              </w:rPr>
                            </w:pPr>
                            <w:r>
                              <w:rPr>
                                <w:rStyle w:val="CharStyle14"/>
                                <w:sz w:val="28"/>
                                <w:szCs w:val="28"/>
                              </w:rPr>
                              <w:t>А.А. Мокиенко</w:t>
                            </w:r>
                          </w:p>
                        </w:txbxContent>
                      </wps:txbx>
                      <wps:bodyPr wrap="none" lIns="0" tIns="0" rIns="0" bIns="0">
                        <a:noAutoFit/>
                      </wps:bodyPr>
                    </wps:wsp>
                  </a:graphicData>
                </a:graphic>
              </wp:anchor>
            </w:drawing>
          </mc:Choice>
          <mc:Fallback>
            <w:pict>
              <v:shape id="_x0000_s1057" type="#_x0000_t202" style="position:absolute;margin-left:472.65000000000003pt;margin-top:48.149999999999999pt;width:93.100000000000009pt;height:19.900000000000002pt;z-index:-125829366;mso-wrap-distance-left:0;mso-wrap-distance-top:48.149999999999999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rPr>
                          <w:sz w:val="28"/>
                          <w:szCs w:val="28"/>
                        </w:rPr>
                      </w:pPr>
                      <w:r>
                        <w:rPr>
                          <w:rStyle w:val="CharStyle14"/>
                          <w:sz w:val="28"/>
                          <w:szCs w:val="28"/>
                        </w:rPr>
                        <w:t>А.А. Мокиенко</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Мокиенко Анастасия Александровна</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Сертификат </w:t>
      </w:r>
      <w:r>
        <w:rPr>
          <w:rStyle w:val="CharStyle27"/>
          <w:color w:val="292929"/>
        </w:rPr>
        <w:t xml:space="preserve">№ </w:t>
      </w:r>
      <w:r>
        <w:rPr>
          <w:rStyle w:val="CharStyle27"/>
        </w:rPr>
        <w:t>009АЕ1СЗАЕ</w:t>
      </w:r>
      <w:r>
        <w:rPr>
          <w:rStyle w:val="CharStyle27"/>
          <w:color w:val="292929"/>
        </w:rPr>
        <w:t>1</w:t>
      </w:r>
      <w:r>
        <w:rPr>
          <w:rStyle w:val="CharStyle27"/>
          <w:lang w:val="en-US" w:eastAsia="en-US"/>
        </w:rPr>
        <w:t>DD</w:t>
      </w:r>
      <w:r>
        <w:rPr>
          <w:rStyle w:val="CharStyle27"/>
          <w:color w:val="292929"/>
        </w:rPr>
        <w:t>1</w:t>
      </w:r>
      <w:r>
        <w:rPr>
          <w:rStyle w:val="CharStyle27"/>
          <w:lang w:val="en-US" w:eastAsia="en-US"/>
        </w:rPr>
        <w:t>A28CB3EE023E9F3D70A</w:t>
      </w:r>
    </w:p>
    <w:p>
      <w:pPr>
        <w:pStyle w:val="Style26"/>
        <w:keepNext w:val="0"/>
        <w:keepLines w:val="0"/>
        <w:widowControl w:val="0"/>
        <w:shd w:val="clear" w:color="auto" w:fill="auto"/>
        <w:bidi w:val="0"/>
        <w:spacing w:before="0" w:after="60" w:line="240" w:lineRule="auto"/>
        <w:ind w:left="0" w:right="0" w:firstLine="0"/>
        <w:jc w:val="left"/>
      </w:pPr>
      <w:r>
        <w:rPr>
          <w:rStyle w:val="CharStyle27"/>
        </w:rPr>
        <w:t xml:space="preserve">Действителен с </w:t>
      </w:r>
      <w:r>
        <w:rPr>
          <w:rStyle w:val="CharStyle27"/>
          <w:color w:val="5E5E5E"/>
        </w:rPr>
        <w:t xml:space="preserve">26.12.2025 по </w:t>
      </w:r>
      <w:r>
        <w:rPr>
          <w:rStyle w:val="CharStyle27"/>
        </w:rPr>
        <w:t>21.03.2027</w:t>
      </w:r>
    </w:p>
    <w:sectPr>
      <w:footnotePr>
        <w:pos w:val="pageBottom"/>
        <w:numFmt w:val="decimal"/>
        <w:numRestart w:val="continuous"/>
      </w:footnotePr>
      <w:type w:val="continuous"/>
      <w:pgSz w:w="11900" w:h="16840"/>
      <w:pgMar w:top="1719" w:right="4227" w:bottom="1719" w:left="42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10010140</wp:posOffset>
              </wp:positionV>
              <wp:extent cx="628015" cy="128270"/>
              <wp:wrapNone/>
              <wp:docPr id="5" name="Shape 5"/>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2026-3604</w:t>
                          </w:r>
                        </w:p>
                      </w:txbxContent>
                    </wps:txbx>
                    <wps:bodyPr wrap="none" lIns="0" tIns="0" rIns="0" bIns="0">
                      <a:spAutoFit/>
                    </wps:bodyPr>
                  </wps:wsp>
                </a:graphicData>
              </a:graphic>
            </wp:anchor>
          </w:drawing>
        </mc:Choice>
        <mc:Fallback>
          <w:pict>
            <v:shape id="_x0000_s1031" type="#_x0000_t202" style="position:absolute;margin-left:56.75pt;margin-top:788.20000000000005pt;width:49.450000000000003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2026-3604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9851390</wp:posOffset>
              </wp:positionV>
              <wp:extent cx="628015" cy="128270"/>
              <wp:wrapNone/>
              <wp:docPr id="7" name="Shape 7"/>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2026-3604</w:t>
                          </w:r>
                        </w:p>
                      </w:txbxContent>
                    </wps:txbx>
                    <wps:bodyPr wrap="none" lIns="0" tIns="0" rIns="0" bIns="0">
                      <a:spAutoFit/>
                    </wps:bodyPr>
                  </wps:wsp>
                </a:graphicData>
              </a:graphic>
            </wp:anchor>
          </w:drawing>
        </mc:Choice>
        <mc:Fallback>
          <w:pict>
            <v:shape id="_x0000_s1033" type="#_x0000_t202" style="position:absolute;margin-left:56.75pt;margin-top:775.70000000000005pt;width:49.450000000000003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2026-3604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720725</wp:posOffset>
              </wp:positionH>
              <wp:positionV relativeFrom="page">
                <wp:posOffset>10010140</wp:posOffset>
              </wp:positionV>
              <wp:extent cx="628015" cy="128270"/>
              <wp:wrapNone/>
              <wp:docPr id="23" name="Shape 23"/>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2026-3604</w:t>
                          </w:r>
                        </w:p>
                      </w:txbxContent>
                    </wps:txbx>
                    <wps:bodyPr wrap="none" lIns="0" tIns="0" rIns="0" bIns="0">
                      <a:spAutoFit/>
                    </wps:bodyPr>
                  </wps:wsp>
                </a:graphicData>
              </a:graphic>
            </wp:anchor>
          </w:drawing>
        </mc:Choice>
        <mc:Fallback>
          <w:pict>
            <v:shape id="_x0000_s1049" type="#_x0000_t202" style="position:absolute;margin-left:56.75pt;margin-top:788.20000000000005pt;width:49.450000000000003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2026-3604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665480</wp:posOffset>
              </wp:positionV>
              <wp:extent cx="152400" cy="100330"/>
              <wp:wrapNone/>
              <wp:docPr id="3" name="Shape 3"/>
              <a:graphic xmlns:a="http://schemas.openxmlformats.org/drawingml/2006/main">
                <a:graphicData uri="http://schemas.microsoft.com/office/word/2010/wordprocessingShape">
                  <wps:wsp>
                    <wps:cNvSpPr txBox="1"/>
                    <wps:spPr>
                      <a:xfrm>
                        <a:ext cx="15240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52.399999999999999pt;width:12.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796290</wp:posOffset>
              </wp:positionV>
              <wp:extent cx="76200" cy="85090"/>
              <wp:wrapNone/>
              <wp:docPr id="11" name="Shape 11"/>
              <a:graphic xmlns:a="http://schemas.openxmlformats.org/drawingml/2006/main">
                <a:graphicData uri="http://schemas.microsoft.com/office/word/2010/wordprocessingShape">
                  <wps:wsp>
                    <wps:cNvSpPr txBox="1"/>
                    <wps:spPr>
                      <a:xfrm>
                        <a:ext cx="76200" cy="850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pt;margin-top:62.700000000000003pt;width:6.pt;height:6.7000000000000002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665480</wp:posOffset>
              </wp:positionV>
              <wp:extent cx="152400" cy="100330"/>
              <wp:wrapNone/>
              <wp:docPr id="21" name="Shape 21"/>
              <a:graphic xmlns:a="http://schemas.openxmlformats.org/drawingml/2006/main">
                <a:graphicData uri="http://schemas.microsoft.com/office/word/2010/wordprocessingShape">
                  <wps:wsp>
                    <wps:cNvSpPr txBox="1"/>
                    <wps:spPr>
                      <a:xfrm>
                        <a:ext cx="15240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52.399999999999999pt;width:12.pt;height:7.9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50"/>
      <w:szCs w:val="50"/>
      <w:u w:val="none"/>
      <w:lang w:val="en-US" w:eastAsia="en-US"/>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Picture caption_"/>
    <w:basedOn w:val="DefaultParagraphFont"/>
    <w:link w:val="Style22"/>
    <w:rPr>
      <w:rFonts w:ascii="Georgia" w:eastAsia="Georgia" w:hAnsi="Georgia" w:cs="Georgia"/>
      <w:b/>
      <w:bCs/>
      <w:i w:val="0"/>
      <w:iCs w:val="0"/>
      <w:smallCaps w:val="0"/>
      <w:strike w:val="0"/>
      <w:color w:val="292929"/>
      <w:sz w:val="9"/>
      <w:szCs w:val="9"/>
      <w:u w:val="none"/>
    </w:rPr>
  </w:style>
  <w:style w:type="character" w:customStyle="1" w:styleId="CharStyle25">
    <w:name w:val="Body text (5)_"/>
    <w:basedOn w:val="DefaultParagraphFont"/>
    <w:link w:val="Style24"/>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64646"/>
      <w:sz w:val="12"/>
      <w:szCs w:val="12"/>
      <w:u w:val="none"/>
    </w:rPr>
  </w:style>
  <w:style w:type="paragraph" w:customStyle="1" w:styleId="Style2">
    <w:name w:val="Body text (3)"/>
    <w:basedOn w:val="Normal"/>
    <w:link w:val="CharStyle3"/>
    <w:pPr>
      <w:widowControl w:val="0"/>
      <w:shd w:val="clear" w:color="auto" w:fill="auto"/>
      <w:spacing w:after="1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260" w:line="259" w:lineRule="auto"/>
      <w:ind w:left="19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Heading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9">
    <w:name w:val="Other"/>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Picture caption"/>
    <w:basedOn w:val="Normal"/>
    <w:link w:val="CharStyle23"/>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customStyle="1" w:styleId="Style24">
    <w:name w:val="Body text (5)"/>
    <w:basedOn w:val="Normal"/>
    <w:link w:val="CharStyle25"/>
    <w:pPr>
      <w:widowControl w:val="0"/>
      <w:shd w:val="clear" w:color="auto" w:fill="auto"/>
      <w:spacing w:after="100"/>
      <w:ind w:firstLine="36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pPr>
    <w:rPr>
      <w:rFonts w:ascii="Arial" w:eastAsia="Arial" w:hAnsi="Arial" w:cs="Arial"/>
      <w:b w:val="0"/>
      <w:bCs w:val="0"/>
      <w:i w:val="0"/>
      <w:iCs w:val="0"/>
      <w:smallCaps w:val="0"/>
      <w:strike w:val="0"/>
      <w:color w:val="46464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&lt;Письмо&gt; ФАС России от 26.05.2025 N ГР/48883/25"О рассмотрении обращения"</dc:title>
  <dc:subject/>
  <dc:creator/>
  <cp:keywords/>
</cp:coreProperties>
</file>