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168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00"/>
        <w:jc w:val="left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0.05.2026</w:t>
        <w:tab/>
      </w:r>
      <w:r>
        <w:fldChar w:fldCharType="end"/>
      </w:r>
      <w:r>
        <w:rPr>
          <w:rStyle w:val="CharStyle10"/>
        </w:rPr>
        <w:t>№ ЮР/2807/26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 № 036/06/105-533/2026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 xml:space="preserve">ООО "ДСФ СПЕЦДОРСЕРВИС" 394029, ВОРОНЕЖСКАЯ ОБЛАСТЬ, Г. ВОРОНЕЖ, ПР-КТ ЛЕНИНСКИЙ, Д.15, ОФИС 237 </w:t>
      </w:r>
      <w:r>
        <w:fldChar w:fldCharType="begin"/>
      </w:r>
      <w:r>
        <w:rPr/>
        <w:instrText> HYPERLINK "mailto:specdorservis@mail.ru" </w:instrText>
      </w:r>
      <w:r>
        <w:fldChar w:fldCharType="separate"/>
      </w:r>
      <w:r>
        <w:rPr>
          <w:rStyle w:val="CharStyle14"/>
          <w:lang w:val="en-US" w:eastAsia="en-US"/>
        </w:rPr>
        <w:t>specdorservis@mail.ru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Администрация Терновского муниципального района Воронежской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627" w:bottom="1217" w:left="1130" w:header="0" w:footer="3" w:gutter="0"/>
          <w:cols w:num="2" w:space="720" w:equalWidth="0">
            <w:col w:w="4277" w:space="994"/>
            <w:col w:w="4872"/>
          </w:cols>
          <w:noEndnote/>
          <w:rtlGutter w:val="0"/>
          <w:docGrid w:linePitch="360"/>
        </w:sectPr>
      </w:pPr>
      <w:r>
        <w:rPr>
          <w:rStyle w:val="CharStyle14"/>
        </w:rPr>
        <w:t xml:space="preserve">397110, Воронежская обл, Терновский р-н, Терновка с, УЛ. СОВЕТСКАЯ, Д.39 </w:t>
      </w:r>
      <w:r>
        <w:fldChar w:fldCharType="begin"/>
      </w:r>
      <w:r>
        <w:rPr/>
        <w:instrText> HYPERLINK "mailto:otdfin.zakaz.tern@govvrn.ru" </w:instrText>
      </w:r>
      <w:r>
        <w:fldChar w:fldCharType="separate"/>
      </w:r>
      <w:r>
        <w:rPr>
          <w:rStyle w:val="CharStyle14"/>
          <w:lang w:val="en-US" w:eastAsia="en-US"/>
        </w:rPr>
        <w:t>otdfin.zakaz.tern@govvrn.ru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7" w:right="0" w:bottom="11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Р Е Ш Е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left"/>
      </w:pPr>
      <w:r>
        <w:rPr>
          <w:rStyle w:val="CharStyle14"/>
        </w:rPr>
        <w:t>по результатам рассмотрения жалобы ООО «ДСФ СПЕЦДОРСЕРВИС» на действия администрации Терновского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4"/>
        </w:rPr>
        <w:t>(номер извещения 0131300026426000024)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(дело № 036/06/105-533/2026)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4"/>
        </w:rPr>
        <w:t>15.05.2026</w:t>
        <w:tab/>
        <w:t>г. Воронеж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Резолютивная часть объявлена: 15.05.2026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В полном объеме решение изготовлено 20.05.2026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Воронежской области по контролю в сфере закупок (далее – Комиссия Воронежского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– Рощупкина Ю. В. – ведущий заседание – заместитель председателя Комиссии, начальник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– Башкирова А.Р. – член Комиссии, государственный инспектор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rStyle w:val="CharStyle14"/>
        </w:rPr>
        <w:t>– Горелова Ю. М. – член Комиссии, государственный инспектор отдела контроля закупок,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участии представителя ООО «ДСФ СПЕЦДОРСЕРВИС»: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Солодимовой П.И. (доверенность от </w:t>
      </w:r>
      <w:r>
        <w:rPr>
          <w:rStyle w:val="CharStyle14"/>
          <w:lang w:val="en-US" w:eastAsia="en-US"/>
        </w:rPr>
        <w:t xml:space="preserve">13.05.2026 </w:t>
      </w:r>
      <w:r>
        <w:rPr>
          <w:rStyle w:val="CharStyle14"/>
        </w:rPr>
        <w:t>г.),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участии представителя администрации Терновского муниципального района Воронежской области: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Носовой Т.С. (доверенность от </w:t>
      </w:r>
      <w:r>
        <w:rPr>
          <w:rStyle w:val="CharStyle14"/>
          <w:lang w:val="en-US" w:eastAsia="en-US"/>
        </w:rPr>
        <w:t xml:space="preserve">13.05.2026 </w:t>
      </w:r>
      <w:r>
        <w:rPr>
          <w:rStyle w:val="CharStyle14"/>
        </w:rPr>
        <w:t>г.),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участии представителей заинтересованного лица: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Зеленский Д.О. (доверенность от </w:t>
      </w:r>
      <w:r>
        <w:rPr>
          <w:rStyle w:val="CharStyle14"/>
          <w:lang w:val="en-US" w:eastAsia="en-US"/>
        </w:rPr>
        <w:t>30.04.2026),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жалобу ООО «ДСФ СПЕЦДОРСЕРВИС» на действия администрации Терновского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(номер извещения </w:t>
      </w:r>
      <w:r>
        <w:rPr>
          <w:rStyle w:val="CharStyle14"/>
          <w:lang w:val="en-US" w:eastAsia="en-US"/>
        </w:rPr>
        <w:t>0131300026426000024),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Управление Федеральной антимонопольной службы по Воронежской области поступила жалоба ООО «ДСФ СПЕЦДОРСЕРВИС»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Заявитель) на действия администрации Терновского муниципального района Воронежской области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Заказчик, комиссия по осуществлению закупок)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(номер извещения </w:t>
      </w:r>
      <w:r>
        <w:rPr>
          <w:rStyle w:val="CharStyle14"/>
          <w:lang w:val="en-US" w:eastAsia="en-US"/>
        </w:rPr>
        <w:t>0131300026426000024).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4"/>
          <w:lang w:val="en-US" w:eastAsia="en-US"/>
        </w:rPr>
        <w:t xml:space="preserve">05.04.2013 N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 что выразилось в следующем: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Из Протокола не представляется возможным установить основания принятия одних документов, в качестве подтверждающих опыт, и основания отклонения других договоров. Кроме того, нельзя установить, какие именно документы приняты, а какие отклонены.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Протокол, не содержащий всей необходимой информации, не позволяющий выявить основания для принятия решений субъектами контроля, оформлен ненадлежащим образом, не опубликование указанной информации непосредственно затрагивает права и законные интересы участников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Заявителем в составе заявки был представлен </w:t>
      </w:r>
      <w:r>
        <w:rPr>
          <w:rStyle w:val="CharStyle14"/>
          <w:lang w:val="en-US" w:eastAsia="en-US"/>
        </w:rPr>
        <w:t xml:space="preserve">191 </w:t>
      </w:r>
      <w:r>
        <w:rPr>
          <w:rStyle w:val="CharStyle14"/>
        </w:rPr>
        <w:t xml:space="preserve">контракт (договор) на общую сумму </w:t>
      </w:r>
      <w:r>
        <w:rPr>
          <w:rStyle w:val="CharStyle14"/>
          <w:lang w:val="en-US" w:eastAsia="en-US"/>
        </w:rPr>
        <w:t xml:space="preserve">1 692 350 767,35 </w:t>
      </w:r>
      <w:r>
        <w:rPr>
          <w:rStyle w:val="CharStyle14"/>
        </w:rPr>
        <w:t xml:space="preserve">руб, однако, из протокола рассмотрения и оценки вторых частей от </w:t>
      </w:r>
      <w:r>
        <w:rPr>
          <w:rStyle w:val="CharStyle14"/>
          <w:lang w:val="en-US" w:eastAsia="en-US"/>
        </w:rPr>
        <w:t xml:space="preserve">05.05.2026 № ПРОII1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Протокол) следует, что комиссия приняла к рассмотрению только </w:t>
      </w:r>
      <w:r>
        <w:rPr>
          <w:rStyle w:val="CharStyle14"/>
          <w:lang w:val="en-US" w:eastAsia="en-US"/>
        </w:rPr>
        <w:t xml:space="preserve">133 </w:t>
      </w:r>
      <w:r>
        <w:rPr>
          <w:rStyle w:val="CharStyle14"/>
        </w:rPr>
        <w:t xml:space="preserve">договора из </w:t>
      </w:r>
      <w:r>
        <w:rPr>
          <w:rStyle w:val="CharStyle14"/>
          <w:lang w:val="en-US" w:eastAsia="en-US"/>
        </w:rPr>
        <w:t xml:space="preserve">191, </w:t>
      </w:r>
      <w:r>
        <w:rPr>
          <w:rStyle w:val="CharStyle14"/>
        </w:rPr>
        <w:t xml:space="preserve">на сумму </w:t>
      </w:r>
      <w:r>
        <w:rPr>
          <w:rStyle w:val="CharStyle14"/>
          <w:lang w:val="en-US" w:eastAsia="en-US"/>
        </w:rPr>
        <w:t xml:space="preserve">594 843 673,97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Изучив материалы дела, предоставленные доказательства, а также осуществив внеплановую проверку в соответствии со статьей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Комиссия Воронежского УФАС России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15.04.2026 </w:t>
      </w:r>
      <w:r>
        <w:rPr>
          <w:rStyle w:val="CharStyle14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4"/>
          <w:lang w:val="en-US" w:eastAsia="en-US"/>
        </w:rPr>
        <w:t xml:space="preserve">№ 0131300026426000024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составляет </w:t>
      </w:r>
      <w:r>
        <w:rPr>
          <w:rStyle w:val="CharStyle14"/>
          <w:lang w:val="en-US" w:eastAsia="en-US"/>
        </w:rPr>
        <w:t xml:space="preserve">9 108 563,63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Определение поставщика (подрядчика, исполнителя) осуществляется путём проведения открытого конкурса в электронной форме на проведение работ по строительству, реконструкции, кап. ремонту, сносу объекта кап. строительства в соответствии с п.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Закупка вне рамок национального проекта, код бюджетной классификации 9140409241029Д130243 </w:t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Оценивая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доводы жалобы, Комиссия Воронежского УФАС России приходит к следующему.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статье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статьи, обеспечиваются, в частности, путем ее размещения в единой информационной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13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протокол рассмотрения и оценки вторых частей заявок на участие в закупке должен содержать: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дату рассмотрения и оценки вторых частей заявок на участие в закупке идентификационные номера таких заявок;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 извещению об осуществлении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предусмотренному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настоящего Федерального закона (в случае установления такого критерия в извещении об осуществлении закупки);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информацию о признании определения поставщика (подрядчика исполнителя) пунктами </w:t>
      </w:r>
      <w:r>
        <w:rPr>
          <w:rStyle w:val="CharStyle14"/>
          <w:lang w:val="en-US" w:eastAsia="en-US"/>
        </w:rPr>
        <w:t xml:space="preserve">2 4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несостоявшимся в случаях предусмотренных пунктами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>настоящего Федерального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Так, согласно Протоколу, Комиссией по осуществлению закупок указаны дата рассмотрения и оценки вторых частей заявок на участие в закупке идентификационные номера заявок, информацию о принятом решении о признании второй части заявки на участие в закупке соответствующей извещению об осуществлении закупки, значения по критериям,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закупке, в отношении каждой второй части заявки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Комиссией по осуществлению закупок не нарушены нормы законодательства о контрактной системе, доводы признаны необоснованными.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Оценивая довод жалобы </w:t>
      </w:r>
      <w:r>
        <w:rPr>
          <w:rStyle w:val="CharStyle14"/>
          <w:lang w:val="en-US" w:eastAsia="en-US"/>
        </w:rPr>
        <w:t xml:space="preserve">3, </w:t>
      </w:r>
      <w:r>
        <w:rPr>
          <w:rStyle w:val="CharStyle14"/>
        </w:rPr>
        <w:t>Комиссия Воронежского УФАС приходит к следующему.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и документы, предусмотренные 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Извещении о проведении настоящего конкурса установлены следующие критерии: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Критерии оценки заявок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Цена контракта. Значимость критерия оценки: </w:t>
      </w:r>
      <w:r>
        <w:rPr>
          <w:rStyle w:val="CharStyle14"/>
          <w:lang w:val="en-US" w:eastAsia="en-US"/>
        </w:rPr>
        <w:t>60.00%.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</w:t>
      </w:r>
      <w:r>
        <w:rPr>
          <w:rStyle w:val="CharStyle14"/>
          <w:lang w:val="en-US" w:eastAsia="en-US"/>
        </w:rPr>
        <w:t xml:space="preserve">cвязаного </w:t>
      </w:r>
      <w:r>
        <w:rPr>
          <w:rStyle w:val="CharStyle14"/>
        </w:rPr>
        <w:t>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Значимость критерия оценки: </w:t>
      </w:r>
      <w:r>
        <w:rPr>
          <w:rStyle w:val="CharStyle14"/>
          <w:lang w:val="en-US" w:eastAsia="en-US"/>
        </w:rPr>
        <w:t>40.00%.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Порядком рассмотрения и оценки заявок на участие в конкурсе «К оценке принимается исключительно договор (договоры) предусматривающий выполнение работ на автомобильной дороге, который не относится к контрактам, указанным в абзацах втором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четвертом подпункта «г» п.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Положения, и предусматривает выполнение работ по строительству реконструкции, капитальному ремонту, сносу вышеуказанного объекта капитального строительства, заключенный и исполненный в соответствии с Федеральным законом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 услуг для обеспечения государственных и муниципальных нужд» или Федеральным законом от </w:t>
      </w:r>
      <w:r>
        <w:rPr>
          <w:rStyle w:val="CharStyle14"/>
          <w:lang w:val="en-US" w:eastAsia="en-US"/>
        </w:rPr>
        <w:t xml:space="preserve">18.07.2011 № </w:t>
      </w:r>
      <w:r>
        <w:rPr>
          <w:rStyle w:val="CharStyle14"/>
        </w:rPr>
        <w:t>223-ФЗ «О закупках товаров, работ, услуг отдельными видами юридических лиц». Перечень документов, подтверждающих наличие у участников закупки опыта выполнения работы, связанного с предметом контракта: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исполненный договор (договоры),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-акт (акты) приемки выполненных работ, оказанных услуг, составленные при исполнении такого договора (договоров).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Документы принимаются к оценке в том числе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 оценке принимаются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Последний акт, составленный при исполнении договора (договоров) должен быть подписан не ранее чем за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лет до даты окончания срока подачи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06.05.2026 </w:t>
      </w:r>
      <w:r>
        <w:rPr>
          <w:rStyle w:val="CharStyle14"/>
        </w:rPr>
        <w:t xml:space="preserve">№ИЭОК1 заявке Заявителя было присвоено </w:t>
      </w:r>
      <w:r>
        <w:rPr>
          <w:rStyle w:val="CharStyle14"/>
          <w:lang w:val="en-US" w:eastAsia="en-US"/>
        </w:rPr>
        <w:t xml:space="preserve">85.12 </w:t>
      </w:r>
      <w:r>
        <w:rPr>
          <w:rStyle w:val="CharStyle14"/>
        </w:rPr>
        <w:t>баллов.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ходе заседания Заказчик пояснил, что комиссия по осуществлению закупок по заявке Заявителя приняла к рассмотрению </w:t>
      </w:r>
      <w:r>
        <w:rPr>
          <w:rStyle w:val="CharStyle14"/>
          <w:lang w:val="en-US" w:eastAsia="en-US"/>
        </w:rPr>
        <w:t xml:space="preserve">133 </w:t>
      </w:r>
      <w:r>
        <w:rPr>
          <w:rStyle w:val="CharStyle14"/>
        </w:rPr>
        <w:t xml:space="preserve">договора из </w:t>
      </w:r>
      <w:r>
        <w:rPr>
          <w:rStyle w:val="CharStyle14"/>
          <w:lang w:val="en-US" w:eastAsia="en-US"/>
        </w:rPr>
        <w:t xml:space="preserve">191, </w:t>
      </w:r>
      <w:r>
        <w:rPr>
          <w:rStyle w:val="CharStyle14"/>
        </w:rPr>
        <w:t xml:space="preserve">на сумму </w:t>
      </w:r>
      <w:r>
        <w:rPr>
          <w:rStyle w:val="CharStyle14"/>
          <w:lang w:val="en-US" w:eastAsia="en-US"/>
        </w:rPr>
        <w:t xml:space="preserve">594 843 673,97 </w:t>
      </w:r>
      <w:r>
        <w:rPr>
          <w:rStyle w:val="CharStyle14"/>
        </w:rPr>
        <w:t xml:space="preserve">руб. из </w:t>
      </w:r>
      <w:r>
        <w:rPr>
          <w:rStyle w:val="CharStyle14"/>
          <w:lang w:val="en-US" w:eastAsia="en-US"/>
        </w:rPr>
        <w:t xml:space="preserve">1 692 350 767,35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этом, число принятых контрактов (договоров) </w:t>
      </w:r>
      <w:r>
        <w:rPr>
          <w:rStyle w:val="CharStyle14"/>
          <w:lang w:val="en-US" w:eastAsia="en-US"/>
        </w:rPr>
        <w:t xml:space="preserve">— 133, </w:t>
      </w:r>
      <w:r>
        <w:rPr>
          <w:rStyle w:val="CharStyle14"/>
        </w:rPr>
        <w:t>является ошибочным, в связи с тем, что ошибочно были учтены два раза контракты Заявителя, заключенные с ним как единственным поставщиком по закону о контактной системе, однако допущенная техническая ошибка, как указал представитель Указчика, не повлияла на результаты торгов.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Кроме того, при подсчете баллов, комиссией по осуществлению закупок не были приняты договоры, которые носили гражданско-правовой характер, что отвечает требованиям установленным Порядком рассмотрения и оценки заявок на участие в конкурсе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изложенного,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закупок. Руководствуясь ч.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44-ФЗ, Комиссия Воронежского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Р Е Ш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>Признать жалобу общества с ограниченной ответственностью «ДСФ СПЕЦДОРСЕРВИС» на действия администрации Терновского муниципального района Воронежской области при проведении закупки на выполнение работ по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капитальному ремонту автомобильных дорог общего пользования местного значения Терновского муниципального района Воронежской области (номер извещения </w:t>
      </w:r>
      <w:r>
        <w:rPr>
          <w:rStyle w:val="CharStyle14"/>
          <w:lang w:val="en-US" w:eastAsia="en-US"/>
        </w:rPr>
        <w:t xml:space="preserve">0131300026426000024)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заинтересованными лицами в судебном порядке в установленный законом срок.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7" w:right="537" w:bottom="1151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2300" distB="27432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622300</wp:posOffset>
                </wp:positionV>
                <wp:extent cx="182245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49.pt;width:143.5pt;height:19.900000000000002pt;z-index:-125829375;mso-wrap-distance-left:0;mso-wrap-distance-top:49.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8650" distB="0" distL="0" distR="1786255" simplePos="0" relativeHeight="125829380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628650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1033780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34999999999999pt;margin-top:81.40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716915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0000000000002pt;margin-top:56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22300" distB="274320" distL="0" distR="0" simplePos="0" relativeHeight="125829381" behindDoc="0" locked="0" layoutInCell="1" allowOverlap="1">
                <wp:simplePos x="0" y="0"/>
                <wp:positionH relativeFrom="page">
                  <wp:posOffset>5862320</wp:posOffset>
                </wp:positionH>
                <wp:positionV relativeFrom="paragraph">
                  <wp:posOffset>622300</wp:posOffset>
                </wp:positionV>
                <wp:extent cx="132588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1.60000000000002pt;margin-top:49.pt;width:104.40000000000001pt;height:19.900000000000002pt;z-index:-125829372;mso-wrap-distance-left:0;mso-wrap-distance-top:49.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Рощупкина Юлия Вениаминовна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00AF4D3D160B60C8EFFA4933C71</w:t>
      </w:r>
      <w:r>
        <w:rPr>
          <w:rStyle w:val="CharStyle21"/>
        </w:rPr>
        <w:t>1509056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1"/>
        </w:rPr>
        <w:t xml:space="preserve">Действителен с 17.04.2026 </w:t>
      </w:r>
      <w:r>
        <w:rPr>
          <w:rStyle w:val="CharStyle21"/>
          <w:color w:val="5C5C5C"/>
        </w:rPr>
        <w:t>по 1</w:t>
      </w:r>
      <w:r>
        <w:rPr>
          <w:rStyle w:val="CharStyle21"/>
        </w:rPr>
        <w:t>1.07.2027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12700</wp:posOffset>
            </wp:positionV>
            <wp:extent cx="389890" cy="55499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451485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34999999999999pt;margin-top:35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134620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0000000000002pt;margin-top:10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А.Р. Башкирова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Башкирова Анастасия Романовна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4FE3D4FC6DEBD554A3AED345029FF022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1"/>
        </w:rPr>
        <w:t xml:space="preserve">Действителен с 21.04.2026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15.07.2027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34999999999999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20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Ю.М. Горелова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ГОРЕЛОВА ЮЛИЯ МИХАЙЛОВНА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00FF7542F1CF520D7ED33CCA8883500081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1"/>
        </w:rPr>
        <w:t xml:space="preserve">Действителен с 21.04.2026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15.07.2027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1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10026015</wp:posOffset>
              </wp:positionV>
              <wp:extent cx="65532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2026-3231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9.45000000000005pt;width:51.600000000000001pt;height:6.95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2026-3231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9888220</wp:posOffset>
              </wp:positionV>
              <wp:extent cx="65532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2026-3231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8.60000000000002pt;width:51.600000000000001pt;height:6.9500000000000002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2026-3231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