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after="0" w:line="240" w:lineRule="auto"/>
        <w:ind w:left="0" w:right="0" w:firstLine="0"/>
        <w:jc w:val="center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rStyle w:val="CharStyle10"/>
        </w:rPr>
        <w:t>20.05.2026</w:t>
      </w:r>
      <w:r>
        <w:fldChar w:fldCharType="end"/>
      </w:r>
      <w:r>
        <w:rPr>
          <w:rStyle w:val="CharStyle10"/>
        </w:rPr>
        <w:tab/>
        <w:t>№ 21400/26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left"/>
      </w:pPr>
      <w:r>
        <w:rPr>
          <w:rStyle w:val="CharStyle12"/>
        </w:rPr>
        <w:t xml:space="preserve">ФКУ «Налог-сервис» ФНС России </w:t>
      </w:r>
      <w:r>
        <w:fldChar w:fldCharType="begin"/>
      </w:r>
      <w:r>
        <w:rPr/>
        <w:instrText> HYPERLINK "mailto:zakupki@service-nalog.ru" </w:instrText>
      </w:r>
      <w:r>
        <w:fldChar w:fldCharType="separate"/>
      </w:r>
      <w:r>
        <w:rPr>
          <w:rStyle w:val="CharStyle12"/>
          <w:lang w:val="en-US" w:eastAsia="en-US"/>
        </w:rPr>
        <w:t>zakupki@service-nalog.ru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left"/>
      </w:pPr>
      <w:r>
        <w:rPr>
          <w:rStyle w:val="CharStyle12"/>
        </w:rPr>
        <w:t>ООО «Блокмонтаж»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1290" w:bottom="1198" w:left="1265" w:header="0" w:footer="3" w:gutter="0"/>
          <w:pgNumType w:start="1"/>
          <w:cols w:num="2" w:space="946"/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"mailto:info@blokmontazh.ru" </w:instrText>
      </w:r>
      <w:r>
        <w:fldChar w:fldCharType="separate"/>
      </w:r>
      <w:r>
        <w:rPr>
          <w:rStyle w:val="CharStyle12"/>
          <w:lang w:val="en-US" w:eastAsia="en-US"/>
        </w:rPr>
        <w:t>info@blokmontazh.ru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9" w:after="5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09" w:right="0" w:bottom="108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РЕШЕНИЕ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№077/06/105-6210/2026 </w:t>
      </w:r>
      <w:r>
        <w:rPr>
          <w:rStyle w:val="CharStyle12"/>
          <w:b/>
          <w:bCs/>
        </w:rPr>
        <w:t>о нарушении</w:t>
        <w:br/>
        <w:t>законодательства о контрактной системе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50800" distR="50800" simplePos="0" relativeHeight="125829378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25400</wp:posOffset>
                </wp:positionV>
                <wp:extent cx="1185545" cy="408305"/>
                <wp:wrapSquare wrapText="right"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5545" cy="4083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  <w:b/>
                                <w:bCs/>
                                <w:lang w:val="en-US" w:eastAsia="en-US"/>
                              </w:rPr>
                              <w:t>15.05.2026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66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Комиссия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7.pt;margin-top:2.pt;width:93.350000000000009pt;height:32.149999999999999pt;z-index:-125829375;mso-wrap-distance-left:4.pt;mso-wrap-distance-right:4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  <w:b/>
                          <w:bCs/>
                          <w:lang w:val="en-US" w:eastAsia="en-US"/>
                        </w:rPr>
                        <w:t>15.05.2026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660"/>
                        <w:jc w:val="left"/>
                      </w:pPr>
                      <w:r>
                        <w:rPr>
                          <w:rStyle w:val="CharStyle12"/>
                        </w:rPr>
                        <w:t>Комиссия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2"/>
          <w:b/>
          <w:bCs/>
        </w:rPr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2"/>
        </w:rPr>
        <w:t>по контролю в сфере закупок товаров, работ, услуг Управления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016635" simplePos="0" relativeHeight="125829380" behindDoc="0" locked="0" layoutInCell="1" allowOverlap="1">
                <wp:simplePos x="0" y="0"/>
                <wp:positionH relativeFrom="page">
                  <wp:posOffset>6167755</wp:posOffset>
                </wp:positionH>
                <wp:positionV relativeFrom="paragraph">
                  <wp:posOffset>12700</wp:posOffset>
                </wp:positionV>
                <wp:extent cx="130810" cy="252730"/>
                <wp:wrapSquare wrapText="left"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81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6"/>
                                <w:color w:val="000000"/>
                                <w:sz w:val="20"/>
                                <w:szCs w:val="20"/>
                                <w:vertAlign w:val="subscript"/>
                                <w:lang w:val="en-US" w:eastAsia="en-US"/>
                              </w:rPr>
                              <w:t>–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485.65000000000003pt;margin-top:1.pt;width:10.300000000000001pt;height:19.900000000000002pt;z-index:-125829373;mso-wrap-distance-left:9.pt;mso-wrap-distance-right:80.049999999999997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6"/>
                          <w:color w:val="000000"/>
                          <w:sz w:val="20"/>
                          <w:szCs w:val="20"/>
                          <w:vertAlign w:val="subscript"/>
                          <w:lang w:val="en-US" w:eastAsia="en-US"/>
                        </w:rPr>
                        <w:t>–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373380" distR="114300" simplePos="0" relativeHeight="125829382" behindDoc="0" locked="0" layoutInCell="1" allowOverlap="1">
                <wp:simplePos x="0" y="0"/>
                <wp:positionH relativeFrom="page">
                  <wp:posOffset>6426835</wp:posOffset>
                </wp:positionH>
                <wp:positionV relativeFrom="paragraph">
                  <wp:posOffset>12700</wp:posOffset>
                </wp:positionV>
                <wp:extent cx="774065" cy="252730"/>
                <wp:wrapSquare wrapText="left"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7406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Комиссия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506.05000000000001pt;margin-top:1.pt;width:60.950000000000003pt;height:19.900000000000002pt;z-index:-125829371;mso-wrap-distance-left:29.400000000000002pt;mso-wrap-distance-right:9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Комиссия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2"/>
        </w:rPr>
        <w:t>Федеральной антимонопольной службы по г. Москве (далее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2"/>
        </w:rPr>
        <w:t>Председательствующего: заместителя начальника отдела обжалования государственных закупок Д.С. Грешневой,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2"/>
        </w:rPr>
        <w:t>Главного государственного инспектора отдела обжалования государственных закупок А.А. Матюшенко,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2"/>
        </w:rPr>
        <w:t>Специалиста-эксперта отдела обжалования государственных закупок А.С. Гелмутдиновой,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2"/>
        </w:rPr>
        <w:t xml:space="preserve">рассмотрение жалоб проводилось дистанционно (посредством видео-конференц-связи) при участии представителей: ООО «Блокмонтаж»: Кожаева В.Е. (дов.№1 от </w:t>
      </w:r>
      <w:r>
        <w:rPr>
          <w:rStyle w:val="CharStyle12"/>
          <w:lang w:val="en-US" w:eastAsia="en-US"/>
        </w:rPr>
        <w:t xml:space="preserve">14.05.2026), </w:t>
      </w:r>
      <w:r>
        <w:rPr>
          <w:rStyle w:val="CharStyle12"/>
        </w:rPr>
        <w:t xml:space="preserve">ФКУ «Налог-сервис» ФНС России: Смирнова А.В. (дов </w:t>
      </w:r>
      <w:r>
        <w:rPr>
          <w:rStyle w:val="CharStyle12"/>
          <w:lang w:val="en-US" w:eastAsia="en-US"/>
        </w:rPr>
        <w:t xml:space="preserve">№03-01/26/48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 xml:space="preserve">02.02.2026), </w:t>
      </w:r>
      <w:r>
        <w:rPr>
          <w:rStyle w:val="CharStyle12"/>
        </w:rPr>
        <w:t xml:space="preserve">Фролова Д.Ю. (дов.№03-01/26/121 от </w:t>
      </w:r>
      <w:r>
        <w:rPr>
          <w:rStyle w:val="CharStyle12"/>
          <w:lang w:val="en-US" w:eastAsia="en-US"/>
        </w:rPr>
        <w:t>14.05.2026),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2"/>
        </w:rPr>
        <w:t xml:space="preserve">рассмотрев жалобы ООО «Блокмонтаж»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Заявитель) на действия ФКУ «Налог-сервис» ФНС России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Заказчик) при проведении электронных аукционов на право заключения государственных контрактов на оказание услуг по комплексному автотранспортному и транспортно-экспедиционному обслуживанию ФКУ «Налог-Сервис» ФНС России (Закупка </w:t>
      </w:r>
      <w:r>
        <w:rPr>
          <w:rStyle w:val="CharStyle12"/>
          <w:lang w:val="en-US" w:eastAsia="en-US"/>
        </w:rPr>
        <w:t xml:space="preserve">№0337100017726000053, 0337100017726000052)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аукционы) в соответствии с Федеральным законом от </w:t>
      </w:r>
      <w:r>
        <w:rPr>
          <w:rStyle w:val="CharStyle12"/>
          <w:lang w:val="en-US" w:eastAsia="en-US"/>
        </w:rPr>
        <w:t xml:space="preserve">05.04.2013 </w:t>
      </w:r>
      <w:r>
        <w:rPr>
          <w:rStyle w:val="CharStyle12"/>
        </w:rPr>
        <w:t>№44-ФЗ «О контрактной системе в сфере закупок товаров, работ, услуг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540"/>
        <w:ind w:left="0" w:right="0" w:firstLine="0"/>
        <w:jc w:val="both"/>
      </w:pPr>
      <w:r>
        <w:rPr>
          <w:rStyle w:val="CharStyle12"/>
        </w:rPr>
        <w:t xml:space="preserve">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Закон о контрактной системе),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0"/>
        <w:jc w:val="center"/>
      </w:pPr>
      <w:r>
        <w:rPr>
          <w:rStyle w:val="CharStyle12"/>
          <w:b/>
          <w:bCs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В Московское УФАС России поступили жалобы Заявителя на действия Заказчика при проведении электронных аукционов.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На заседание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В результате рассмотрения жалоб, рассмотрев представленные документы и сведения, Комиссия Управления установила следующее.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>В составе жалоб Заявитель указывает, что описание объекта закупок сформировано Заказчиком в нарушение положений Закона о контрактной системе, так как в описании объекта закупок отсутствуют сведения о стоимости и пробеге передаваемых исполнителю контракта транспортных средств Заказчика, что не позволяет однозначным образом определить условия исполнения контракта, в том числе определить условия страхования представляемых транспортных средств, страхование гражданской ответственности владельца транспортных средств, ввиду чего не представляется возможным надлежащим образом сформировать ценовое предложение и заявку на участие в закупках.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Кроме того, Заявитель указывает, что в п.8.2 описания объекта закупок, </w:t>
      </w:r>
      <w:r>
        <w:rPr>
          <w:rStyle w:val="CharStyle12"/>
          <w:lang w:val="en-US" w:eastAsia="en-US"/>
        </w:rPr>
        <w:t xml:space="preserve">2.2.1, 2.4.1 </w:t>
      </w:r>
      <w:r>
        <w:rPr>
          <w:rStyle w:val="CharStyle12"/>
        </w:rPr>
        <w:t>проектов контрактов Заказчиком установлен необоснованно короткий срок представления документов, который ограничивает количество участников закупок.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На основании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Согласно п.5 ч.2 ст.42 Закона о контрактной системе извещение об осуществлении закупки, если иное не предусмотрено Законом о контрактной системе, должно содержать проект контракта.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400"/>
        <w:ind w:left="0" w:right="0" w:firstLine="700"/>
        <w:jc w:val="both"/>
      </w:pPr>
      <w:r>
        <w:rPr>
          <w:rStyle w:val="CharStyle12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Комиссией Управления установлено, что в описании объекта закупок Заказчиком в том числе указано: </w:t>
      </w:r>
      <w:r>
        <w:rPr>
          <w:rStyle w:val="CharStyle12"/>
          <w:lang w:val="en-US" w:eastAsia="en-US"/>
        </w:rPr>
        <w:t xml:space="preserve">«8.2. </w:t>
      </w:r>
      <w:r>
        <w:rPr>
          <w:rStyle w:val="CharStyle12"/>
        </w:rPr>
        <w:t>Исполнитель не позднее трех рабочих дней после получения документов, указанных в п.8.1. настоящего Описания объекта закупки (Технического задания) предоставляет Заказчику: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>контактные данные (включая телефон и электронную почту) дежурных диспетчеров, осуществляющих координацию работы с Заказчиком и Представителями Заказчика в рабочее время (с учетом часовых поясов Заказчика и Получателей услуг).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>полный список Автомобилей Исполнителя в соответствии с информацией, предоставленной Заказчиком согласно п.8.1. настоящего Описания объекта закупки (Технического задания), в котором должны быть указаны марка, модель и номер государственного регистрационного знака каждого автомобиля».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Также, Комиссией Управления установлено, что в проектах контрактов Заказчиком в том числе указано: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  <w:lang w:val="en-US" w:eastAsia="en-US"/>
        </w:rPr>
        <w:t xml:space="preserve">«2.2.1. </w:t>
      </w:r>
      <w:r>
        <w:rPr>
          <w:rStyle w:val="CharStyle12"/>
        </w:rPr>
        <w:t xml:space="preserve">Предоставить Исполнителю не позднее трех рабочих с даты заключения Контракта документы, указанные в п. </w:t>
      </w:r>
      <w:r>
        <w:rPr>
          <w:rStyle w:val="CharStyle12"/>
          <w:lang w:val="en-US" w:eastAsia="en-US"/>
        </w:rPr>
        <w:t xml:space="preserve">8.1. </w:t>
      </w:r>
      <w:r>
        <w:rPr>
          <w:rStyle w:val="CharStyle12"/>
        </w:rPr>
        <w:t xml:space="preserve">Технического задания (Приложение </w:t>
      </w:r>
      <w:r>
        <w:rPr>
          <w:rStyle w:val="CharStyle12"/>
          <w:lang w:val="en-US" w:eastAsia="en-US"/>
        </w:rPr>
        <w:t xml:space="preserve">№ 1 </w:t>
      </w:r>
      <w:r>
        <w:rPr>
          <w:rStyle w:val="CharStyle12"/>
        </w:rPr>
        <w:t>к настоящему Контракту).»;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  <w:lang w:val="en-US" w:eastAsia="en-US"/>
        </w:rPr>
        <w:t xml:space="preserve">«2.4.1. </w:t>
      </w:r>
      <w:r>
        <w:rPr>
          <w:rStyle w:val="CharStyle12"/>
        </w:rPr>
        <w:t xml:space="preserve">В течение трех рабочих дней после исполнения Заказчиком обязательств, указанных в п.2.2.1 настоящего Контракта, предоставить Заказчику надлежащим образом оформленные документы, указанные в п.8.2 Технического задания (Приложение </w:t>
      </w:r>
      <w:r>
        <w:rPr>
          <w:rStyle w:val="CharStyle12"/>
          <w:lang w:val="en-US" w:eastAsia="en-US"/>
        </w:rPr>
        <w:t xml:space="preserve">№ 1 </w:t>
      </w:r>
      <w:r>
        <w:rPr>
          <w:rStyle w:val="CharStyle12"/>
        </w:rPr>
        <w:t>к настоящему Контракту). Данные документы должны быть прошиты, скреплены печатью Исполнителя (при наличии печати для юридического лица) и подписаны уполномоченным лицом Исполнителя, полномочия которого подтверждаются в порядке, установленном законодательством Российской Федерации, с приложением соответствующих документов».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На заседании Комиссии Управления представитель Заказчика пояснил, что описание объекта закупок сформировано Заказчиком в соответствии с потребностью учреждения, при этом сроки представления документов, указанные в оспариваемых положения описания объекта закупок, проектов контрактов, являются исполнимыми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40"/>
        <w:ind w:left="0" w:right="0" w:firstLine="0"/>
        <w:jc w:val="both"/>
      </w:pPr>
      <w:r>
        <w:rPr>
          <w:rStyle w:val="CharStyle12"/>
        </w:rPr>
        <w:t>и не ограничивают количество участников закупок.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Кроме того, представитель Заказчика отметил, что в описании объекта закупок Заказчиком указаны модели транспортных средств, год выпуска, тип и объем двигателя, что позволяет надлежащим образом определить условия исполнения контрактов.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Комиссия Управления считаем необходимым отметить, что из совокупности положений Закона о контрактной системе следует, что установление требований к техническим, функциональным характеристикам товара, работ, услуг, а также иных показателей, связанных с определением соответствия поставляемого товара, выполняемых работ, оказываемых услуг существующим потребностям, является прерогативой Заказчика.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Закон о контрактной системе не содержит норм, ограничивающих право Заказчика включать в извещение требования к объекту закупки, которые являются для него значимыми, и, обязывающих Заказчика устанавливать в извещении, вопреки его потребностям, такие требования к характеристикам объекта закупки, которые обеспечивали бы возможность участия всех существующих хозяйствующих субъектов.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Так, основной задачей законодательства, устанавливающего порядок проведения закупок, является не столько обеспечение максимально широкого круга участников закупки, сколько выявление в результате торгов лица, исполнение контракта которым в наибольшей степени будет отвечать целям эффективного использования источников финансирования, предотвращения злоупотреблений в сфере закупок товаров, работ, услуг для обеспечения государственных и муниципальных нужд.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При этом Закон о контрактной системе не вменяет Заказчикам обязанность обеспечить возможность участия в закупочной процедуре всех хозяйствующих субъектов оценивая их производственные мощности при планировании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жалобы, однако, на заседание Комиссии Управления представителем Заявителя, а также в составе жалоб Заявителем, не представлено документов и сведений, свидетельствующих об ограничении количества участников закупок, невозможности подачи заявки на участие в закупках при формировании описания объекта закупок, проектов контрактов вышеуказанным образом.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Ввиду вышеизложенного у Комиссии Управления отсутствуют правовые основания считать Заказчика нарушившим положения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Иного на заседании Комиссии Управления не выявлено.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На основании вышеизложенного Комиссия Управления приходит к выводу, что данный довод жалоб Заявителя не нашел своего подтверждения и является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2"/>
        </w:rPr>
        <w:t>необоснованным.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4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Также в составе жалоб Заявитель указывает, что в п.2.2.3, </w:t>
      </w:r>
      <w:r>
        <w:rPr>
          <w:rStyle w:val="CharStyle12"/>
          <w:lang w:val="en-US" w:eastAsia="en-US"/>
        </w:rPr>
        <w:t xml:space="preserve">2.4.6, 4.1 </w:t>
      </w:r>
      <w:r>
        <w:rPr>
          <w:rStyle w:val="CharStyle12"/>
        </w:rPr>
        <w:t>проектов контрактов Заказчиком предусмотрены путевые и маршрутные листы, при этом маршрутные листы не предусмотрены действующем законодательством, однако, согласно проектам контрактов, являются основанием для оплаты услуг, ввиду чего, по мнению Заявителя, Заказчиком неправомерно предусмотрены дублирующие отчетные документы.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Комиссией Управления установлено, что в проектах контрактов Заказчиком в том числе указано: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4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  <w:lang w:val="en-US" w:eastAsia="en-US"/>
        </w:rPr>
        <w:t xml:space="preserve">«2.2.3. </w:t>
      </w:r>
      <w:r>
        <w:rPr>
          <w:rStyle w:val="CharStyle12"/>
        </w:rPr>
        <w:t>Совместно с Представителем Исполнителя оформлять маршрутный лист на каждый рабочий день транспорного средства и заверять пройденные маршруты подписью Представителя Заказчика. Маршрутный лист должен содержать: номер и дату составления, номер Контракта, наименование Получателя услуг, наименование Исполнителя, марку и модель транспорного средства, маршрут движения транспортного средства, ФИО и подписи Представителя Заказчика и Представителя Исполнителя.»;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4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  <w:lang w:val="en-US" w:eastAsia="en-US"/>
        </w:rPr>
        <w:t xml:space="preserve">«2.4.6. </w:t>
      </w:r>
      <w:r>
        <w:rPr>
          <w:rStyle w:val="CharStyle12"/>
        </w:rPr>
        <w:t xml:space="preserve">По требованию Заказчика в пятидневный срок предоставлять скан-копии путевых листов (или </w:t>
      </w:r>
      <w:r>
        <w:rPr>
          <w:rStyle w:val="CharStyle12"/>
          <w:lang w:val="en-US" w:eastAsia="en-US"/>
        </w:rPr>
        <w:t xml:space="preserve">PDF-файл </w:t>
      </w:r>
      <w:r>
        <w:rPr>
          <w:rStyle w:val="CharStyle12"/>
        </w:rPr>
        <w:t>печатной формы электронного путевого листа) автомобилей, на которых оказывались Услуги, нести полную ответственность за корректность их заполнения, полноту и достоверность указанной в них информации.»;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4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  <w:lang w:val="en-US" w:eastAsia="en-US"/>
        </w:rPr>
        <w:t xml:space="preserve">«4.1. </w:t>
      </w:r>
      <w:r>
        <w:rPr>
          <w:rStyle w:val="CharStyle12"/>
        </w:rPr>
        <w:t xml:space="preserve">Сдача-приемка фактически оказанных Услуг производится ежемесячно (а также по письменному требованию Заказчика) и оформляется Актами об оказании Услуг (Приложение </w:t>
      </w:r>
      <w:r>
        <w:rPr>
          <w:rStyle w:val="CharStyle12"/>
          <w:lang w:val="en-US" w:eastAsia="en-US"/>
        </w:rPr>
        <w:t xml:space="preserve">№ 3 </w:t>
      </w:r>
      <w:r>
        <w:rPr>
          <w:rStyle w:val="CharStyle12"/>
        </w:rPr>
        <w:t xml:space="preserve">к настоящему Контракту) и Сводным актом об оказании Услуг (Приложение </w:t>
      </w:r>
      <w:r>
        <w:rPr>
          <w:rStyle w:val="CharStyle12"/>
          <w:lang w:val="en-US" w:eastAsia="en-US"/>
        </w:rPr>
        <w:t xml:space="preserve">№ 4 </w:t>
      </w:r>
      <w:r>
        <w:rPr>
          <w:rStyle w:val="CharStyle12"/>
        </w:rPr>
        <w:t xml:space="preserve">к настоящему Контракту) за фактически оказанные Услуги, из расчета указанной в настоящем Контракте стоимости тарифа на оказание Услуг (Приложение </w:t>
      </w:r>
      <w:r>
        <w:rPr>
          <w:rStyle w:val="CharStyle12"/>
          <w:lang w:val="en-US" w:eastAsia="en-US"/>
        </w:rPr>
        <w:t xml:space="preserve">№ 5 </w:t>
      </w:r>
      <w:r>
        <w:rPr>
          <w:rStyle w:val="CharStyle12"/>
        </w:rPr>
        <w:t>к настоящему Контракту) и согласно маршрутным листам, заверенным Представителем Заказчика.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Исполнитель в течение первых трех рабочих дней месяца, следующего за отчетным (а также по письменному требованию Заказчика в любой день месяца в течение трех рабочих дней), направляет каждому Получателю Услуг по три экземпляра соответствующего Акта об оказании Услуг (Приложение </w:t>
      </w:r>
      <w:r>
        <w:rPr>
          <w:rStyle w:val="CharStyle12"/>
          <w:lang w:val="en-US" w:eastAsia="en-US"/>
        </w:rPr>
        <w:t xml:space="preserve">№ 3 </w:t>
      </w:r>
      <w:r>
        <w:rPr>
          <w:rStyle w:val="CharStyle12"/>
        </w:rPr>
        <w:t>к настоящему Контракту).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При наличии технической возможности допускается подписание УКЭП».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На заседании Комиссии Управления представитель Заказчика пояснил, что маршрутный и путевой листы не являются взаимозаменяемыми, дублирующими документами, что однозначно следуют из положений проектов контрактов, так формирование путевого листа, предусмотрено Приказом Минтранса России от </w:t>
      </w:r>
      <w:r>
        <w:rPr>
          <w:rStyle w:val="CharStyle12"/>
          <w:lang w:val="en-US" w:eastAsia="en-US"/>
        </w:rPr>
        <w:t xml:space="preserve">28 </w:t>
      </w:r>
      <w:r>
        <w:rPr>
          <w:rStyle w:val="CharStyle12"/>
        </w:rPr>
        <w:t xml:space="preserve">сентября </w:t>
      </w:r>
      <w:r>
        <w:rPr>
          <w:rStyle w:val="CharStyle12"/>
          <w:lang w:val="en-US" w:eastAsia="en-US"/>
        </w:rPr>
        <w:t xml:space="preserve">2022 </w:t>
      </w:r>
      <w:r>
        <w:rPr>
          <w:rStyle w:val="CharStyle12"/>
        </w:rPr>
        <w:t xml:space="preserve">года </w:t>
      </w:r>
      <w:r>
        <w:rPr>
          <w:rStyle w:val="CharStyle12"/>
          <w:lang w:val="en-US" w:eastAsia="en-US"/>
        </w:rPr>
        <w:t xml:space="preserve">№390 </w:t>
      </w:r>
      <w:r>
        <w:rPr>
          <w:rStyle w:val="CharStyle12"/>
        </w:rPr>
        <w:t>и являются обязанностью исполнителя, при этом п.2.4.6 проекта контрактов предусмотрено лишь право Заказчика запросить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2"/>
        </w:rPr>
        <w:t>соответствующий документ исполнителя, в то время как маршрутный лист является основным документом для ежедневного планирования маршрутов, выдаче маршрутного задания Заказчиком, а также предназначен для фиксации выполнения задач.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Вместе с этим на заседание Комиссии Управления представителем Заявителя, а также в составе жалоб Заявителем, не представлено документов и сведений, свидетельствующих об ограничении количества участников закупок, невозможности подачи заявки на участие в закупках при установлении оспариваемых условий исполнения контракта.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Ввиду вышеизложенного у Комиссии Управления отсутствуют правовые основания считать Заказчика нарушившим положения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Иного на заседании Комиссии Управления не выявлено.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На основании вышеизложенного Комиссия Управления приходит к выводу, что данный довод жалоб Заявителя не нашел своего подтверждения и является необоснованным.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>Также в составе жалоб Заявитель указывает, что п.8.3 описания объекта закупок предусмотрена передача паспортных данных сотрудников исполнителя контрактов Заказчику, однако извещениями неправомерно не определен порядок обработки персональных данных.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Комиссией Управления установлено, что в описании объекта закупок Заказчиком в том числе указано: </w:t>
      </w:r>
      <w:r>
        <w:rPr>
          <w:rStyle w:val="CharStyle12"/>
          <w:lang w:val="en-US" w:eastAsia="en-US"/>
        </w:rPr>
        <w:t xml:space="preserve">«8.3. </w:t>
      </w:r>
      <w:r>
        <w:rPr>
          <w:rStyle w:val="CharStyle12"/>
        </w:rPr>
        <w:t>Исполнитель не позднее трех рабочих дней до начала оказания Услуг по согласованию с соответствующим Представителем Заказчика направляет водителей и водителей-экспедиторов по месту расположения Получателя услуг для оформления пропусков, при этом у каждого водителя на руках должен быть паспорт и документ о его назначении Представителем Исполнителя.».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На заседании Комиссии Управления представитель Заказчика пояснил, что, вопреки доводам жалоб, описанием объекта закупки не предусмотрена необходимость передачи паспортных данных сотрудников исполнителя Заказчику.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Комиссией Управления установлено, что оспариваемые положения описания объекта закупок не предусматривают необходимость передачи паспортных данных сотрудников исполнителя Заказчику.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Таким образом, Комиссия Управления приходит к выводу, что данные доводы жалоб не основаны на положениях извещений.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На основании вышеизложенного Комиссия Управления приходит к выводу, что данный довод жалоб Заявителя не нашел своего подтверждения и является необоснованным.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>Также в составе жалоб Заявитель указывает, что в проектах контрактов Заказчиком предусмотрено неправомерное, неисполнимое условие об обязанности исполнителя по мониторингу и оплате административных штрафов ГИБДД при отсутствии инструментов для их самостоятельного отслеживания.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Комиссией Управления установлено, что в описании объекта закупок Заказчиком в том числе указано: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  <w:lang w:val="en-US" w:eastAsia="en-US"/>
        </w:rPr>
        <w:t xml:space="preserve">«2.14.12.1. </w:t>
      </w:r>
      <w:r>
        <w:rPr>
          <w:rStyle w:val="CharStyle12"/>
        </w:rPr>
        <w:t>Самостоятельно производить мониторинг всех возможных/доступных сервисов по отслеживанию выявления административных правонарушений в области дорожного движения, совершенными водителями и водителями-экспедиторами».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  <w:lang w:val="en-US" w:eastAsia="en-US"/>
        </w:rPr>
        <w:t xml:space="preserve">«2.14.12.2. </w:t>
      </w:r>
      <w:r>
        <w:rPr>
          <w:rStyle w:val="CharStyle12"/>
        </w:rPr>
        <w:t>Обеспечить своевременную оплату штрафов за совершенные водителями и водителями-экспедиторами административные правонарушения в области дорожного движения».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На заседании Комиссии Управления представитель Заказчика пояснил, что официальный сервис неоплаченных административных штрафов Госавтоинспекции </w:t>
      </w:r>
      <w:r>
        <w:rPr>
          <w:rStyle w:val="CharStyle12"/>
          <w:lang w:val="en-US" w:eastAsia="en-US"/>
        </w:rPr>
        <w:t>(</w:t>
      </w:r>
      <w:r>
        <w:rPr>
          <w:rStyle w:val="CharStyle12"/>
          <w:lang w:val="en-US" w:eastAsia="en-US"/>
        </w:rPr>
        <w:t>https://гибдд.рф/check/fines</w:t>
      </w:r>
      <w:r>
        <w:rPr>
          <w:rStyle w:val="CharStyle12"/>
          <w:lang w:val="en-US" w:eastAsia="en-US"/>
        </w:rPr>
        <w:t xml:space="preserve">), </w:t>
      </w:r>
      <w:r>
        <w:rPr>
          <w:rStyle w:val="CharStyle12"/>
        </w:rPr>
        <w:t>является общедоступным информационным ресурсом и позволяют получать информацию о штрафах до их направления на принудительное исполнение в Службу судебных приставов, ввиду чего данное требование исполнимым.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Также представитель Заказчика отметил, что. в силу ч.2 ст.2.6.1 Кодекса Российской Федерации об административных правонарушениях, административную ответственность за допущенные нарушения правил дородного движения несет исполнитель контракта.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Вместе с этим на заседание Комиссии Управления представителем Заявителя, а также в составе жалоб Заявителем, не представлено документов и сведений, свидетельствующих об ограничении количества участников закупки, невозможности подачи заявки на участие в закупки при установлении оспариваемых условий исполнения контрактов.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Ввиду вышеизложенного у Комиссии Управления отсутствуют правовые основания считать Заказчика нарушившим положения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Иного на заседании Комиссии Управления не выявлено.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На основании вышеизложенного Комиссия Управления приходит к выводу, что данный довод жалоб Заявителя не нашел своего подтверждения и является необоснованным.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rStyle w:val="CharStyle12"/>
          <w:b/>
          <w:bCs/>
        </w:rPr>
        <w:t>Р Е Ш И Л А: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1" w:val="left"/>
        </w:tabs>
        <w:bidi w:val="0"/>
        <w:spacing w:before="0" w:after="0"/>
        <w:ind w:left="0" w:right="0" w:firstLine="720"/>
        <w:jc w:val="left"/>
      </w:pPr>
      <w:r>
        <w:rPr>
          <w:rStyle w:val="CharStyle12"/>
        </w:rPr>
        <w:t>Признать жалобы ООО «Блокмонтаж» на действия ФКУ «Налог-сервис» ФНС России необоснованными.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1" w:val="left"/>
        </w:tabs>
        <w:bidi w:val="0"/>
        <w:spacing w:before="0" w:after="300"/>
        <w:ind w:left="0" w:right="0" w:firstLine="720"/>
        <w:jc w:val="left"/>
      </w:pPr>
      <w:r>
        <w:rPr>
          <w:rStyle w:val="CharStyle12"/>
        </w:rPr>
        <w:t>Снять ограничения, наложенные на определение поставщика (подрядчика, исполнителя).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left"/>
      </w:pPr>
      <w:r>
        <w:rPr>
          <w:rStyle w:val="CharStyle12"/>
        </w:rPr>
        <w:t xml:space="preserve">Решение может быть обжаловано в судебном порядке в Арбитражном судег Москвы в течение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(трех) месяцев с даты его принятия в порядке, установленном гл. </w:t>
      </w:r>
      <w:r>
        <w:rPr>
          <w:rStyle w:val="CharStyle12"/>
          <w:lang w:val="en-US" w:eastAsia="en-US"/>
        </w:rPr>
        <w:t xml:space="preserve">24 </w:t>
      </w:r>
      <w:r>
        <w:rPr>
          <w:rStyle w:val="CharStyle12"/>
        </w:rPr>
        <w:t>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09" w:right="539" w:bottom="1082" w:left="110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42900" distB="191770" distL="0" distR="0" simplePos="0" relativeHeight="125829384" behindDoc="0" locked="0" layoutInCell="1" allowOverlap="1">
                <wp:simplePos x="0" y="0"/>
                <wp:positionH relativeFrom="page">
                  <wp:posOffset>734060</wp:posOffset>
                </wp:positionH>
                <wp:positionV relativeFrom="paragraph">
                  <wp:posOffset>342900</wp:posOffset>
                </wp:positionV>
                <wp:extent cx="1896110" cy="250190"/>
                <wp:wrapTopAndBottom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Председательствующий: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57.800000000000004pt;margin-top:27.pt;width:149.30000000000001pt;height:19.699999999999999pt;z-index:-125829369;mso-wrap-distance-left:0;mso-wrap-distance-top:27.pt;mso-wrap-distance-right:0;mso-wrap-distance-bottom:15.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Председательствующий: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40690" distB="0" distL="0" distR="1816735" simplePos="0" relativeHeight="125829386" behindDoc="0" locked="0" layoutInCell="1" allowOverlap="1">
            <wp:simplePos x="0" y="0"/>
            <wp:positionH relativeFrom="page">
              <wp:posOffset>3133090</wp:posOffset>
            </wp:positionH>
            <wp:positionV relativeFrom="paragraph">
              <wp:posOffset>440690</wp:posOffset>
            </wp:positionV>
            <wp:extent cx="298450" cy="347345"/>
            <wp:wrapTopAndBottom/>
            <wp:docPr id="16" name="Shap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box 17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3522980</wp:posOffset>
                </wp:positionH>
                <wp:positionV relativeFrom="paragraph">
                  <wp:posOffset>501650</wp:posOffset>
                </wp:positionV>
                <wp:extent cx="1722120" cy="259080"/>
                <wp:wrapNone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77.40000000000003pt;margin-top:39.5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42900" distB="191770" distL="0" distR="0" simplePos="0" relativeHeight="125829387" behindDoc="0" locked="0" layoutInCell="1" allowOverlap="1">
                <wp:simplePos x="0" y="0"/>
                <wp:positionH relativeFrom="page">
                  <wp:posOffset>6076950</wp:posOffset>
                </wp:positionH>
                <wp:positionV relativeFrom="paragraph">
                  <wp:posOffset>342900</wp:posOffset>
                </wp:positionV>
                <wp:extent cx="1136650" cy="250190"/>
                <wp:wrapTopAndBottom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478.5pt;margin-top:27.pt;width:89.5pt;height:19.699999999999999pt;z-index:-125829366;mso-wrap-distance-left:0;mso-wrap-distance-top:27.pt;mso-wrap-distance-right:0;mso-wrap-distance-bottom:15.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7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18"/>
          <w:color w:val="FFFFFF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Грешнева Дарья Сергеевна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  <w:color w:val="292929"/>
        </w:rPr>
        <w:t xml:space="preserve">Сертификат № </w:t>
      </w:r>
      <w:r>
        <w:rPr>
          <w:rStyle w:val="CharStyle20"/>
          <w:color w:val="5D5D5D"/>
        </w:rPr>
        <w:t>00831</w:t>
      </w:r>
      <w:r>
        <w:rPr>
          <w:rStyle w:val="CharStyle20"/>
          <w:lang w:val="en-US" w:eastAsia="en-US"/>
        </w:rPr>
        <w:t>B7545C61281C4BAB156778A683BFB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20"/>
        </w:rPr>
        <w:t xml:space="preserve">Действителен с </w:t>
      </w:r>
      <w:r>
        <w:rPr>
          <w:rStyle w:val="CharStyle20"/>
          <w:color w:val="292929"/>
        </w:rPr>
        <w:t xml:space="preserve">17.07.2025 </w:t>
      </w:r>
      <w:r>
        <w:rPr>
          <w:rStyle w:val="CharStyle20"/>
          <w:color w:val="5D5D5D"/>
        </w:rPr>
        <w:t xml:space="preserve">по </w:t>
      </w:r>
      <w:r>
        <w:rPr>
          <w:rStyle w:val="CharStyle20"/>
        </w:rPr>
        <w:t>10.10.2026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820"/>
        <w:jc w:val="left"/>
      </w:pPr>
      <w:r>
        <w:drawing>
          <wp:anchor distT="0" distB="0" distL="114300" distR="1931035" simplePos="0" relativeHeight="125829389" behindDoc="0" locked="0" layoutInCell="1" allowOverlap="1">
            <wp:simplePos x="0" y="0"/>
            <wp:positionH relativeFrom="page">
              <wp:posOffset>3133090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22" name="Shap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box 2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3522980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77.40000000000003pt;margin-top:11.80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А.А. Матюшенко</w:t>
      </w:r>
    </w:p>
    <w:p>
      <w:pPr>
        <w:pStyle w:val="Style1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18"/>
          <w:color w:val="FFFFFF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/>
        <w:ind w:right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Матюшенко Александр Александрович</w:t>
      </w:r>
      <w:r>
        <w:rPr>
          <w:rStyle w:val="CharStyle20"/>
          <w:color w:val="000000"/>
        </w:rPr>
        <w:t xml:space="preserve"> </w:t>
      </w: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4F595A5C3E5ABB2DD77161F08559FC07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560"/>
        <w:ind w:right="0"/>
        <w:jc w:val="left"/>
      </w:pPr>
      <w:r>
        <w:rPr>
          <w:rStyle w:val="CharStyle20"/>
        </w:rPr>
        <w:t xml:space="preserve">Действителен с 22.07.2025 </w:t>
      </w:r>
      <w:r>
        <w:rPr>
          <w:rStyle w:val="CharStyle20"/>
          <w:color w:val="5D5D5D"/>
        </w:rPr>
        <w:t xml:space="preserve">по </w:t>
      </w:r>
      <w:r>
        <w:rPr>
          <w:rStyle w:val="CharStyle20"/>
        </w:rPr>
        <w:t>15.10.2026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620"/>
        <w:jc w:val="left"/>
      </w:pPr>
      <w:r>
        <w:drawing>
          <wp:anchor distT="0" distB="0" distL="114300" distR="1931035" simplePos="0" relativeHeight="125829390" behindDoc="0" locked="0" layoutInCell="1" allowOverlap="1">
            <wp:simplePos x="0" y="0"/>
            <wp:positionH relativeFrom="page">
              <wp:posOffset>3133090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26" name="Shape 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box 27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3522980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77.40000000000003pt;margin-top:11.80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А.С. Гелмутдинова</w:t>
      </w:r>
    </w:p>
    <w:p>
      <w:pPr>
        <w:pStyle w:val="Style1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18"/>
          <w:color w:val="FFFFFF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/>
        <w:ind w:right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ГЕЛМУТДИНОВА АНАСТАСИЯ СЕРГЕЕВНА</w:t>
      </w:r>
      <w:r>
        <w:rPr>
          <w:rStyle w:val="CharStyle20"/>
          <w:color w:val="000000"/>
        </w:rPr>
        <w:t xml:space="preserve"> </w:t>
      </w: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</w:rPr>
        <w:t>723501СС21703599976371</w:t>
      </w:r>
      <w:r>
        <w:rPr>
          <w:rStyle w:val="CharStyle20"/>
          <w:lang w:val="en-US" w:eastAsia="en-US"/>
        </w:rPr>
        <w:t>4F5C652689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440"/>
        <w:ind w:right="0"/>
        <w:jc w:val="left"/>
      </w:pPr>
      <w:r>
        <w:rPr>
          <w:rStyle w:val="CharStyle20"/>
        </w:rPr>
        <w:t xml:space="preserve">Действителен с 09.02.2026 </w:t>
      </w:r>
      <w:r>
        <w:rPr>
          <w:rStyle w:val="CharStyle20"/>
          <w:color w:val="5D5D5D"/>
        </w:rPr>
        <w:t xml:space="preserve">по </w:t>
      </w:r>
      <w:r>
        <w:rPr>
          <w:rStyle w:val="CharStyle20"/>
        </w:rPr>
        <w:t>05.05.2027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5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81" w:right="532" w:bottom="1681" w:left="111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731520</wp:posOffset>
              </wp:positionH>
              <wp:positionV relativeFrom="page">
                <wp:posOffset>9725660</wp:posOffset>
              </wp:positionV>
              <wp:extent cx="725170" cy="10350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2026-24864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600000000000001pt;margin-top:765.80000000000007pt;width:57.100000000000001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2026-24864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10214610</wp:posOffset>
              </wp:positionV>
              <wp:extent cx="734695" cy="12827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2026-24864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804.30000000000007pt;width:57.850000000000001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2026-24864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3928745</wp:posOffset>
              </wp:positionH>
              <wp:positionV relativeFrom="page">
                <wp:posOffset>554355</wp:posOffset>
              </wp:positionV>
              <wp:extent cx="76200" cy="6731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73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35000000000002pt;margin-top:43.649999999999999pt;width:6.pt;height:5.2999999999999998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Picture caption_"/>
    <w:basedOn w:val="DefaultParagraphFont"/>
    <w:link w:val="Style1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8">
    <w:name w:val="Body text (4)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0">
    <w:name w:val="Body text (2)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character" w:customStyle="1" w:styleId="CharStyle25">
    <w:name w:val="Body text (5)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spacing w:line="254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Picture caption"/>
    <w:basedOn w:val="Normal"/>
    <w:link w:val="CharStyle16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7">
    <w:name w:val="Body text (4)"/>
    <w:basedOn w:val="Normal"/>
    <w:link w:val="CharStyle18"/>
    <w:pPr>
      <w:widowControl w:val="0"/>
      <w:shd w:val="clear" w:color="auto" w:fill="auto"/>
      <w:spacing w:after="10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19">
    <w:name w:val="Body text (2)"/>
    <w:basedOn w:val="Normal"/>
    <w:link w:val="CharStyle20"/>
    <w:pPr>
      <w:widowControl w:val="0"/>
      <w:shd w:val="clear" w:color="auto" w:fill="auto"/>
      <w:spacing w:line="266" w:lineRule="auto"/>
      <w:ind w:left="3800" w:firstLine="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paragraph" w:customStyle="1" w:styleId="Style24">
    <w:name w:val="Body text (5)"/>
    <w:basedOn w:val="Normal"/>
    <w:link w:val="CharStyle25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