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24510" cy="56705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567055"/>
                    </a:xfrm>
                    <a:prstGeom prst="rect"/>
                  </pic:spPr>
                </pic:pic>
              </a:graphicData>
            </a:graphic>
          </wp:anchor>
        </w:drawing>
      </w:r>
    </w:p>
    <w:p>
      <w:pPr>
        <w:widowControl w:val="0"/>
        <w:spacing w:after="527"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45" w:bottom="1168" w:left="110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line="254" w:lineRule="auto"/>
        <w:ind w:left="0" w:right="0" w:firstLine="0"/>
        <w:jc w:val="center"/>
      </w:pPr>
      <w:r>
        <w:rPr>
          <w:rStyle w:val="CharStyle6"/>
          <w:b/>
          <w:bCs/>
        </w:rPr>
        <w:t>Федеральной антимонопольной службы</w:t>
        <w:br/>
        <w:t>по Воронежской области</w:t>
      </w:r>
    </w:p>
    <w:p>
      <w:pPr>
        <w:pStyle w:val="Style5"/>
        <w:keepNext w:val="0"/>
        <w:keepLines w:val="0"/>
        <w:widowControl w:val="0"/>
        <w:shd w:val="clear" w:color="auto" w:fill="auto"/>
        <w:bidi w:val="0"/>
        <w:spacing w:before="0" w:after="0"/>
        <w:ind w:left="0" w:right="0" w:firstLine="400"/>
        <w:jc w:val="left"/>
      </w:pPr>
      <w:r>
        <w:rPr>
          <w:rStyle w:val="CharStyle6"/>
        </w:rPr>
        <w:t>пр-кт Революции, 21, г. Воронеж, 394036</w:t>
      </w:r>
    </w:p>
    <w:p>
      <w:pPr>
        <w:pStyle w:val="Style5"/>
        <w:keepNext w:val="0"/>
        <w:keepLines w:val="0"/>
        <w:widowControl w:val="0"/>
        <w:shd w:val="clear" w:color="auto" w:fill="auto"/>
        <w:bidi w:val="0"/>
        <w:spacing w:before="0" w:after="0"/>
        <w:ind w:left="0" w:right="0" w:firstLine="0"/>
        <w:jc w:val="center"/>
      </w:pPr>
      <w:r>
        <w:rPr>
          <w:rStyle w:val="CharStyle6"/>
        </w:rPr>
        <w:t>тел./факс+7 (473) 255-92-44</w:t>
      </w:r>
    </w:p>
    <w:p>
      <w:pPr>
        <w:pStyle w:val="Style5"/>
        <w:keepNext w:val="0"/>
        <w:keepLines w:val="0"/>
        <w:widowControl w:val="0"/>
        <w:shd w:val="clear" w:color="auto" w:fill="auto"/>
        <w:bidi w:val="0"/>
        <w:spacing w:before="0" w:after="260"/>
        <w:ind w:left="0" w:right="0" w:firstLine="0"/>
        <w:jc w:val="center"/>
      </w:pPr>
      <w:r>
        <w:rPr>
          <w:rStyle w:val="CharStyle6"/>
          <w:u w:val="single"/>
          <w:lang w:val="en-US" w:eastAsia="en-US"/>
        </w:rPr>
        <w:t xml:space="preserve">e-mail: </w:t>
      </w:r>
      <w:r>
        <w:fldChar w:fldCharType="begin"/>
      </w:r>
      <w:r>
        <w:rPr/>
        <w:instrText> HYPERLINK "mailto:to36@fas.gov.ru" </w:instrText>
      </w:r>
      <w:r>
        <w:fldChar w:fldCharType="separate"/>
      </w:r>
      <w:r>
        <w:rPr>
          <w:rStyle w:val="CharStyle6"/>
          <w:u w:val="single"/>
          <w:lang w:val="en-US" w:eastAsia="en-US"/>
        </w:rPr>
        <w:t>to36@fas.gov.ru</w:t>
      </w:r>
      <w:r>
        <w:fldChar w:fldCharType="end"/>
      </w:r>
    </w:p>
    <w:p>
      <w:pPr>
        <w:pStyle w:val="Style9"/>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0"/>
        </w:rPr>
        <w:t>2</w:t>
      </w:r>
      <w:r>
        <w:fldChar w:fldCharType="begin"/>
      </w:r>
      <w:r>
        <w:rPr/>
        <w:instrText> HYPERLINK "file://f207ca94-a13c-4ba0-b72d-f018c9eed8f1/" </w:instrText>
      </w:r>
      <w:r>
        <w:fldChar w:fldCharType="separate"/>
      </w:r>
      <w:r>
        <w:rPr>
          <w:rStyle w:val="CharStyle10"/>
        </w:rPr>
        <w:t>0,05.2026</w:t>
      </w:r>
      <w:r>
        <w:rPr>
          <w:rStyle w:val="CharStyle10"/>
          <w:u w:val="none"/>
        </w:rPr>
        <w:tab/>
      </w:r>
      <w:r>
        <w:fldChar w:fldCharType="end"/>
      </w:r>
      <w:r>
        <w:rPr>
          <w:rStyle w:val="CharStyle10"/>
          <w:u w:val="none"/>
        </w:rPr>
        <w:t xml:space="preserve">№ </w:t>
      </w:r>
      <w:r>
        <w:rPr>
          <w:rStyle w:val="CharStyle10"/>
        </w:rPr>
        <w:t>ЮР/28</w:t>
      </w:r>
      <w:r>
        <w:rPr>
          <w:rStyle w:val="CharStyle10"/>
          <w:u w:val="none"/>
        </w:rPr>
        <w:t>10/26</w:t>
      </w:r>
      <w:bookmarkEnd w:id="0"/>
    </w:p>
    <w:p>
      <w:pPr>
        <w:pStyle w:val="Style5"/>
        <w:keepNext w:val="0"/>
        <w:keepLines w:val="0"/>
        <w:widowControl w:val="0"/>
        <w:shd w:val="clear" w:color="auto" w:fill="auto"/>
        <w:bidi w:val="0"/>
        <w:spacing w:before="0" w:after="620"/>
        <w:ind w:left="0" w:right="0" w:firstLine="0"/>
        <w:jc w:val="left"/>
      </w:pPr>
      <w:r>
        <w:rPr>
          <w:rStyle w:val="CharStyle6"/>
        </w:rPr>
        <w:t xml:space="preserve">На №  от</w:t>
      </w:r>
    </w:p>
    <w:p>
      <w:pPr>
        <w:pStyle w:val="Style12"/>
        <w:keepNext w:val="0"/>
        <w:keepLines w:val="0"/>
        <w:widowControl w:val="0"/>
        <w:shd w:val="clear" w:color="auto" w:fill="auto"/>
        <w:bidi w:val="0"/>
        <w:spacing w:before="0" w:after="0" w:line="240" w:lineRule="auto"/>
        <w:ind w:left="0" w:right="0" w:firstLine="0"/>
        <w:jc w:val="left"/>
      </w:pPr>
      <w:r>
        <w:rPr>
          <w:rStyle w:val="CharStyle13"/>
        </w:rPr>
        <w:t>Решение № 036/06/105-535/2026</w:t>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ООО "ДСФ СПЕЦДОРСЕРВИС" 394029, ВОРОНЕЖСКАЯ ОБЛАСТЬ, Г. ВОРОНЕЖ, ПР-КТ ЛЕНИНСКИЙ, Д.15, ОФИС 237 </w:t>
      </w:r>
      <w:r>
        <w:fldChar w:fldCharType="begin"/>
      </w:r>
      <w:r>
        <w:rPr/>
        <w:instrText> HYPERLINK "mailto:specdorservis@mail.ru" </w:instrText>
      </w:r>
      <w:r>
        <w:fldChar w:fldCharType="separate"/>
      </w:r>
      <w:r>
        <w:rPr>
          <w:rStyle w:val="CharStyle15"/>
          <w:lang w:val="en-US" w:eastAsia="en-US"/>
        </w:rPr>
        <w:t>specdorservis@mail.ru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Администрация Терновского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79" w:right="627" w:bottom="1197" w:left="1130" w:header="0" w:footer="3" w:gutter="0"/>
          <w:cols w:num="2" w:space="720" w:equalWidth="0">
            <w:col w:w="4277" w:space="994"/>
            <w:col w:w="4872"/>
          </w:cols>
          <w:noEndnote/>
          <w:rtlGutter w:val="0"/>
          <w:docGrid w:linePitch="360"/>
        </w:sectPr>
      </w:pPr>
      <w:r>
        <w:rPr>
          <w:rStyle w:val="CharStyle15"/>
        </w:rPr>
        <w:t xml:space="preserve">397110, Воронежская обл, Терновский р-н, Терновка с, УЛ. СОВЕТСКАЯ, Д.39 </w:t>
      </w:r>
      <w:r>
        <w:fldChar w:fldCharType="begin"/>
      </w:r>
      <w:r>
        <w:rPr/>
        <w:instrText> HYPERLINK "mailto:otdfin.zakaz.tern@govvrn.ru" </w:instrText>
      </w:r>
      <w:r>
        <w:fldChar w:fldCharType="separate"/>
      </w:r>
      <w:r>
        <w:rPr>
          <w:rStyle w:val="CharStyle15"/>
          <w:lang w:val="en-US" w:eastAsia="en-US"/>
        </w:rPr>
        <w:t>otdfin.zakaz.tern@govvrn.ru</w:t>
      </w:r>
      <w:r>
        <w:fldChar w:fldCharType="end"/>
      </w:r>
    </w:p>
    <w:p>
      <w:pPr>
        <w:widowControl w:val="0"/>
        <w:spacing w:line="240" w:lineRule="exact"/>
        <w:rPr>
          <w:sz w:val="19"/>
          <w:szCs w:val="19"/>
        </w:rPr>
      </w:pPr>
    </w:p>
    <w:p>
      <w:pPr>
        <w:widowControl w:val="0"/>
        <w:spacing w:before="104" w:after="10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1198" w:left="0" w:header="0" w:footer="3" w:gutter="0"/>
          <w:cols w:space="720"/>
          <w:noEndnote/>
          <w:rtlGutter w:val="0"/>
          <w:docGrid w:linePitch="360"/>
        </w:sectPr>
      </w:pPr>
    </w:p>
    <w:p>
      <w:pPr>
        <w:pStyle w:val="Style14"/>
        <w:keepNext w:val="0"/>
        <w:keepLines w:val="0"/>
        <w:widowControl w:val="0"/>
        <w:shd w:val="clear" w:color="auto" w:fill="auto"/>
        <w:bidi w:val="0"/>
        <w:spacing w:before="0" w:after="640" w:line="276" w:lineRule="auto"/>
        <w:ind w:left="0" w:right="0" w:firstLine="0"/>
        <w:jc w:val="center"/>
      </w:pPr>
      <w:r>
        <w:rPr>
          <w:rStyle w:val="CharStyle15"/>
        </w:rPr>
        <w:t>Р Е Ш Е Н И Е</w:t>
        <w:br/>
        <w:t>по результатам рассмотрения жалобы общества с ограниченной ответственностью</w:t>
        <w:br/>
        <w:t>«ДСФ СПЕЦДОРСЕРВИС» на действия Администрации Терновского</w:t>
        <w:br/>
        <w:t>муниципального района Воронежской области при проведении закупки на</w:t>
        <w:br/>
        <w:t>выполнение работ по капитальному ремонту автомобильных дорог общего</w:t>
        <w:br/>
        <w:t>пользования местного значения Терновского муниципального района Воронежской</w:t>
        <w:br/>
        <w:t>области (номер извещения 0131300026426000021)</w:t>
        <w:br/>
        <w:t>(Дело № 036/06/105-535/2026)</w:t>
      </w:r>
    </w:p>
    <w:p>
      <w:pPr>
        <w:pStyle w:val="Style14"/>
        <w:keepNext w:val="0"/>
        <w:keepLines w:val="0"/>
        <w:widowControl w:val="0"/>
        <w:shd w:val="clear" w:color="auto" w:fill="auto"/>
        <w:bidi w:val="0"/>
        <w:spacing w:before="0" w:after="380" w:line="240" w:lineRule="auto"/>
        <w:ind w:left="0" w:right="300" w:firstLine="0"/>
        <w:jc w:val="right"/>
      </w:pPr>
      <w:r>
        <mc:AlternateContent>
          <mc:Choice Requires="wps">
            <w:drawing>
              <wp:anchor distT="0" distB="0" distL="114300" distR="114300" simplePos="0" relativeHeight="125829378" behindDoc="0" locked="0" layoutInCell="1" allowOverlap="1">
                <wp:simplePos x="0" y="0"/>
                <wp:positionH relativeFrom="page">
                  <wp:posOffset>903605</wp:posOffset>
                </wp:positionH>
                <wp:positionV relativeFrom="paragraph">
                  <wp:posOffset>12700</wp:posOffset>
                </wp:positionV>
                <wp:extent cx="810895" cy="250190"/>
                <wp:wrapSquare wrapText="right"/>
                <wp:docPr id="7" name="Shape 7"/>
                <a:graphic xmlns:a="http://schemas.openxmlformats.org/drawingml/2006/main">
                  <a:graphicData uri="http://schemas.microsoft.com/office/word/2010/wordprocessingShape">
                    <wps:wsp>
                      <wps:cNvSpPr txBox="1"/>
                      <wps:spPr>
                        <a:xfrm>
                          <a:ext cx="81089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15.05.2026</w:t>
                            </w:r>
                          </w:p>
                        </w:txbxContent>
                      </wps:txbx>
                      <wps:bodyPr wrap="none" lIns="0" tIns="0" rIns="0" bIns="0">
                        <a:noAutoFit/>
                      </wps:bodyPr>
                    </wps:wsp>
                  </a:graphicData>
                </a:graphic>
              </wp:anchor>
            </w:drawing>
          </mc:Choice>
          <mc:Fallback>
            <w:pict>
              <v:shape id="_x0000_s1033" type="#_x0000_t202" style="position:absolute;margin-left:71.150000000000006pt;margin-top:1.pt;width:63.850000000000001pt;height:19.699999999999999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15.05.2026</w:t>
                      </w:r>
                    </w:p>
                  </w:txbxContent>
                </v:textbox>
                <w10:wrap type="square" side="right" anchorx="page"/>
              </v:shape>
            </w:pict>
          </mc:Fallback>
        </mc:AlternateContent>
      </w:r>
      <w:r>
        <w:rPr>
          <w:rStyle w:val="CharStyle15"/>
        </w:rPr>
        <w:t>г. Воронеж</w:t>
      </w:r>
    </w:p>
    <w:p>
      <w:pPr>
        <w:pStyle w:val="Style14"/>
        <w:keepNext w:val="0"/>
        <w:keepLines w:val="0"/>
        <w:widowControl w:val="0"/>
        <w:shd w:val="clear" w:color="auto" w:fill="auto"/>
        <w:bidi w:val="0"/>
        <w:spacing w:before="0" w:after="0" w:line="240" w:lineRule="auto"/>
        <w:ind w:left="0" w:right="0" w:firstLine="0"/>
        <w:jc w:val="center"/>
      </w:pPr>
      <w:r>
        <w:rPr>
          <w:rStyle w:val="CharStyle15"/>
        </w:rPr>
        <w:t>Резолютивная часть объявлена: 15.05.2026 года.</w:t>
      </w:r>
    </w:p>
    <w:p>
      <w:pPr>
        <w:pStyle w:val="Style14"/>
        <w:keepNext w:val="0"/>
        <w:keepLines w:val="0"/>
        <w:widowControl w:val="0"/>
        <w:shd w:val="clear" w:color="auto" w:fill="auto"/>
        <w:bidi w:val="0"/>
        <w:spacing w:before="0" w:after="320" w:line="240" w:lineRule="auto"/>
        <w:ind w:left="0" w:right="0" w:firstLine="0"/>
        <w:jc w:val="center"/>
      </w:pPr>
      <w:r>
        <w:rPr>
          <w:rStyle w:val="CharStyle15"/>
        </w:rPr>
        <w:t>В полном объеме решение изготовлено 20.05.2026 года.</w:t>
      </w:r>
    </w:p>
    <w:p>
      <w:pPr>
        <w:pStyle w:val="Style14"/>
        <w:keepNext w:val="0"/>
        <w:keepLines w:val="0"/>
        <w:widowControl w:val="0"/>
        <w:shd w:val="clear" w:color="auto" w:fill="auto"/>
        <w:bidi w:val="0"/>
        <w:spacing w:before="0" w:after="0" w:line="240" w:lineRule="auto"/>
        <w:ind w:left="0" w:right="0" w:firstLine="640"/>
        <w:jc w:val="both"/>
      </w:pPr>
      <w:r>
        <w:rPr>
          <w:rStyle w:val="CharStyle15"/>
        </w:rPr>
        <w:t>Комиссия Управления Федеральной антимонопольной службы по</w:t>
      </w:r>
    </w:p>
    <w:p>
      <w:pPr>
        <w:pStyle w:val="Style14"/>
        <w:keepNext w:val="0"/>
        <w:keepLines w:val="0"/>
        <w:widowControl w:val="0"/>
        <w:shd w:val="clear" w:color="auto" w:fill="auto"/>
        <w:bidi w:val="0"/>
        <w:spacing w:before="0" w:after="0" w:line="240" w:lineRule="auto"/>
        <w:ind w:left="0" w:right="0" w:firstLine="0"/>
        <w:jc w:val="both"/>
      </w:pPr>
      <w:r>
        <w:rPr>
          <w:rStyle w:val="CharStyle15"/>
        </w:rPr>
        <w:t>Воронежской области по контролю в сфере закупок (далее - Комиссия) в составе:</w:t>
      </w:r>
    </w:p>
    <w:p>
      <w:pPr>
        <w:pStyle w:val="Style14"/>
        <w:keepNext w:val="0"/>
        <w:keepLines w:val="0"/>
        <w:widowControl w:val="0"/>
        <w:numPr>
          <w:ilvl w:val="0"/>
          <w:numId w:val="1"/>
        </w:numPr>
        <w:shd w:val="clear" w:color="auto" w:fill="auto"/>
        <w:tabs>
          <w:tab w:pos="1002" w:val="left"/>
        </w:tabs>
        <w:bidi w:val="0"/>
        <w:spacing w:before="0" w:after="0" w:line="240" w:lineRule="auto"/>
        <w:ind w:left="0" w:right="0" w:firstLine="700"/>
        <w:jc w:val="both"/>
      </w:pPr>
      <w:r>
        <w:rPr>
          <w:rStyle w:val="CharStyle15"/>
        </w:rPr>
        <w:t>Рощупкина Ю.В. – ведущий заседания, заместитель председателя Комиссии начальник отдела контроля закупок Воронежского УФАС России;</w:t>
      </w:r>
    </w:p>
    <w:p>
      <w:pPr>
        <w:pStyle w:val="Style14"/>
        <w:keepNext w:val="0"/>
        <w:keepLines w:val="0"/>
        <w:widowControl w:val="0"/>
        <w:numPr>
          <w:ilvl w:val="0"/>
          <w:numId w:val="1"/>
        </w:numPr>
        <w:shd w:val="clear" w:color="auto" w:fill="auto"/>
        <w:tabs>
          <w:tab w:pos="1045" w:val="left"/>
        </w:tabs>
        <w:bidi w:val="0"/>
        <w:spacing w:before="0" w:after="0" w:line="240" w:lineRule="auto"/>
        <w:ind w:left="0" w:right="0" w:firstLine="700"/>
        <w:jc w:val="both"/>
      </w:pPr>
      <w:r>
        <w:rPr>
          <w:rStyle w:val="CharStyle15"/>
        </w:rPr>
        <w:t>Башкирова А.Р. – член Комиссии, государственный инспектор отдела контроля закупок;</w:t>
      </w:r>
    </w:p>
    <w:p>
      <w:pPr>
        <w:pStyle w:val="Style14"/>
        <w:keepNext w:val="0"/>
        <w:keepLines w:val="0"/>
        <w:widowControl w:val="0"/>
        <w:numPr>
          <w:ilvl w:val="0"/>
          <w:numId w:val="1"/>
        </w:numPr>
        <w:shd w:val="clear" w:color="auto" w:fill="auto"/>
        <w:tabs>
          <w:tab w:pos="1002" w:val="left"/>
        </w:tabs>
        <w:bidi w:val="0"/>
        <w:spacing w:before="0" w:after="440" w:line="240" w:lineRule="auto"/>
        <w:ind w:left="0" w:right="0" w:firstLine="700"/>
        <w:jc w:val="both"/>
      </w:pPr>
      <w:r>
        <w:rPr>
          <w:rStyle w:val="CharStyle15"/>
        </w:rPr>
        <w:t>Горелова Ю.М. – член Комиссии, государственный инспектор отдела контроля закупок;</w:t>
      </w:r>
    </w:p>
    <w:p>
      <w:pPr>
        <w:pStyle w:val="Style18"/>
        <w:keepNext/>
        <w:keepLines/>
        <w:widowControl w:val="0"/>
        <w:shd w:val="clear" w:color="auto" w:fill="auto"/>
        <w:bidi w:val="0"/>
        <w:spacing w:before="0" w:line="240" w:lineRule="auto"/>
        <w:ind w:left="0" w:right="0" w:firstLine="0"/>
        <w:jc w:val="both"/>
      </w:pPr>
      <w:bookmarkStart w:id="2" w:name="bookmark2"/>
      <w:r>
        <w:rPr>
          <w:rStyle w:val="CharStyle19"/>
        </w:rPr>
        <w:t>IIIIIIIIIIIIIIIIIIIIIIII</w:t>
      </w:r>
      <w:bookmarkEnd w:id="2"/>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администрации Терновского муниципального района Воронежской области:</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Носовой Т.С. (доверенность от </w:t>
      </w:r>
      <w:r>
        <w:rPr>
          <w:rStyle w:val="CharStyle15"/>
          <w:lang w:val="en-US" w:eastAsia="en-US"/>
        </w:rPr>
        <w:t>13.05.2026),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общества с ограниченной ответственностью «ДСФ СПЕЦДОРСЕРВИС»:</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Солодимовой П.И. (доверенность от </w:t>
      </w:r>
      <w:r>
        <w:rPr>
          <w:rStyle w:val="CharStyle15"/>
          <w:lang w:val="en-US" w:eastAsia="en-US"/>
        </w:rPr>
        <w:t>13.05.2026),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участии представителей заинтересованного лица:</w:t>
      </w:r>
    </w:p>
    <w:p>
      <w:pPr>
        <w:pStyle w:val="Style14"/>
        <w:keepNext w:val="0"/>
        <w:keepLines w:val="0"/>
        <w:widowControl w:val="0"/>
        <w:numPr>
          <w:ilvl w:val="0"/>
          <w:numId w:val="1"/>
        </w:numPr>
        <w:shd w:val="clear" w:color="auto" w:fill="auto"/>
        <w:tabs>
          <w:tab w:pos="1608" w:val="left"/>
        </w:tabs>
        <w:bidi w:val="0"/>
        <w:spacing w:before="0" w:after="0" w:line="240" w:lineRule="auto"/>
        <w:ind w:left="0" w:right="0" w:firstLine="720"/>
        <w:jc w:val="both"/>
      </w:pPr>
      <w:r>
        <w:rPr>
          <w:rStyle w:val="CharStyle15"/>
        </w:rPr>
        <w:t xml:space="preserve">Зеленский Д.О. (доверенность от </w:t>
      </w:r>
      <w:r>
        <w:rPr>
          <w:rStyle w:val="CharStyle15"/>
          <w:lang w:val="en-US" w:eastAsia="en-US"/>
        </w:rPr>
        <w:t>30.04.2026),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рассмотрев жалобу общества с ограниченной ответственностью «ДСФ СПЕЦДОРСЕРВИС» на действия Администрации Терновского муниципального района Воронежской области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0131300026426000021),</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У С Т А Н О В И Л 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Управление Федеральной антимонопольной службы по Воронежской области (далее </w:t>
      </w:r>
      <w:r>
        <w:rPr>
          <w:rStyle w:val="CharStyle15"/>
          <w:lang w:val="en-US" w:eastAsia="en-US"/>
        </w:rPr>
        <w:t xml:space="preserve">– </w:t>
      </w:r>
      <w:r>
        <w:rPr>
          <w:rStyle w:val="CharStyle15"/>
        </w:rPr>
        <w:t xml:space="preserve">Воронежское УФАС России) поступила жалоба общества с ограниченной ответственностью «ДСФ СПЕЦДОРСЕРВИС» (далее </w:t>
      </w:r>
      <w:r>
        <w:rPr>
          <w:rStyle w:val="CharStyle15"/>
          <w:lang w:val="en-US" w:eastAsia="en-US"/>
        </w:rPr>
        <w:t xml:space="preserve">- </w:t>
      </w:r>
      <w:r>
        <w:rPr>
          <w:rStyle w:val="CharStyle15"/>
        </w:rPr>
        <w:t xml:space="preserve">Заявитель) на действия администрации Терновского муниципального района Воронежской области (далее </w:t>
      </w:r>
      <w:r>
        <w:rPr>
          <w:rStyle w:val="CharStyle15"/>
          <w:lang w:val="en-US" w:eastAsia="en-US"/>
        </w:rPr>
        <w:t xml:space="preserve">— </w:t>
      </w:r>
      <w:r>
        <w:rPr>
          <w:rStyle w:val="CharStyle15"/>
        </w:rPr>
        <w:t xml:space="preserve">Заказчик, комиссия по осуществлению закупок) при проведении закупки на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0131300026426000021).</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 мнению заявителя, действия заказчика не соответствуют требованиям положений Федерального закона от </w:t>
      </w:r>
      <w:r>
        <w:rPr>
          <w:rStyle w:val="CharStyle15"/>
          <w:lang w:val="en-US" w:eastAsia="en-US"/>
        </w:rPr>
        <w:t xml:space="preserve">05.04.2013 N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5"/>
          <w:lang w:val="en-US" w:eastAsia="en-US"/>
        </w:rPr>
        <w:t xml:space="preserve">- </w:t>
      </w:r>
      <w:r>
        <w:rPr>
          <w:rStyle w:val="CharStyle15"/>
        </w:rPr>
        <w:t>Закон о контрактной системе), что выразилось в следующем:</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Из Протокола не представляется возможным установить основания принятия одних документов, в качестве подтверждающих опыт, и основания отклонения других договоров. Кроме того, нельзя установить, какие именно документы приняты, а какие отклонены.</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Протокол, не содержащий всей необходимой информации, не позволяющий выявить основания для принятия решений субъектами контроля, оформлен ненадлежащим образом, не опубликование указанной информации непосредственно затрагивает права и законные интересы участников закупки.</w:t>
      </w:r>
    </w:p>
    <w:p>
      <w:pPr>
        <w:pStyle w:val="Style14"/>
        <w:keepNext w:val="0"/>
        <w:keepLines w:val="0"/>
        <w:widowControl w:val="0"/>
        <w:numPr>
          <w:ilvl w:val="0"/>
          <w:numId w:val="3"/>
        </w:numPr>
        <w:shd w:val="clear" w:color="auto" w:fill="auto"/>
        <w:tabs>
          <w:tab w:pos="1157" w:val="left"/>
        </w:tabs>
        <w:bidi w:val="0"/>
        <w:spacing w:before="0" w:after="0" w:line="240" w:lineRule="auto"/>
        <w:ind w:left="0" w:right="0" w:firstLine="720"/>
        <w:jc w:val="both"/>
      </w:pPr>
      <w:r>
        <w:rPr>
          <w:rStyle w:val="CharStyle15"/>
        </w:rPr>
        <w:t xml:space="preserve">Заявителем в составе заявки был представлен </w:t>
      </w:r>
      <w:r>
        <w:rPr>
          <w:rStyle w:val="CharStyle15"/>
          <w:lang w:val="en-US" w:eastAsia="en-US"/>
        </w:rPr>
        <w:t xml:space="preserve">191 </w:t>
      </w:r>
      <w:r>
        <w:rPr>
          <w:rStyle w:val="CharStyle15"/>
        </w:rPr>
        <w:t xml:space="preserve">контракт (договор) на общую сумму </w:t>
      </w:r>
      <w:r>
        <w:rPr>
          <w:rStyle w:val="CharStyle15"/>
          <w:lang w:val="en-US" w:eastAsia="en-US"/>
        </w:rPr>
        <w:t xml:space="preserve">1 692 350 767,35 </w:t>
      </w:r>
      <w:r>
        <w:rPr>
          <w:rStyle w:val="CharStyle15"/>
        </w:rPr>
        <w:t xml:space="preserve">руб, однако, из протокола рассмотрения и оценки вторых частей от </w:t>
      </w:r>
      <w:r>
        <w:rPr>
          <w:rStyle w:val="CharStyle15"/>
          <w:lang w:val="en-US" w:eastAsia="en-US"/>
        </w:rPr>
        <w:t xml:space="preserve">05.05.2026 № ПРОII1 </w:t>
      </w:r>
      <w:r>
        <w:rPr>
          <w:rStyle w:val="CharStyle15"/>
        </w:rPr>
        <w:t xml:space="preserve">(далее </w:t>
      </w:r>
      <w:r>
        <w:rPr>
          <w:rStyle w:val="CharStyle15"/>
          <w:lang w:val="en-US" w:eastAsia="en-US"/>
        </w:rPr>
        <w:t xml:space="preserve">- </w:t>
      </w:r>
      <w:r>
        <w:rPr>
          <w:rStyle w:val="CharStyle15"/>
        </w:rPr>
        <w:t xml:space="preserve">Протокол) следует, что комиссия приняла к рассмотрению только </w:t>
      </w:r>
      <w:r>
        <w:rPr>
          <w:rStyle w:val="CharStyle15"/>
          <w:lang w:val="en-US" w:eastAsia="en-US"/>
        </w:rPr>
        <w:t xml:space="preserve">133 </w:t>
      </w:r>
      <w:r>
        <w:rPr>
          <w:rStyle w:val="CharStyle15"/>
        </w:rPr>
        <w:t xml:space="preserve">договора из </w:t>
      </w:r>
      <w:r>
        <w:rPr>
          <w:rStyle w:val="CharStyle15"/>
          <w:lang w:val="en-US" w:eastAsia="en-US"/>
        </w:rPr>
        <w:t xml:space="preserve">191, </w:t>
      </w:r>
      <w:r>
        <w:rPr>
          <w:rStyle w:val="CharStyle15"/>
        </w:rPr>
        <w:t xml:space="preserve">на сумму </w:t>
      </w:r>
      <w:r>
        <w:rPr>
          <w:rStyle w:val="CharStyle15"/>
          <w:lang w:val="en-US" w:eastAsia="en-US"/>
        </w:rPr>
        <w:t xml:space="preserve">594 843 673,97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Изучив материалы дела, предоставленные доказательства, а также осуществив внеплановую проверку в соответствии со статьей </w:t>
      </w:r>
      <w:r>
        <w:rPr>
          <w:rStyle w:val="CharStyle15"/>
          <w:lang w:val="en-US" w:eastAsia="en-US"/>
        </w:rPr>
        <w:t xml:space="preserve">99 </w:t>
      </w:r>
      <w:r>
        <w:rPr>
          <w:rStyle w:val="CharStyle15"/>
        </w:rPr>
        <w:t>Закона о контрактной системе Комиссия Воронежского УФАС России пришла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13.04.2026 </w:t>
      </w:r>
      <w:r>
        <w:rPr>
          <w:rStyle w:val="CharStyle15"/>
        </w:rPr>
        <w:t xml:space="preserve">года в Единой информационной системе размещено Извещение о проведении электронного аукциона </w:t>
      </w:r>
      <w:r>
        <w:rPr>
          <w:rStyle w:val="CharStyle15"/>
          <w:lang w:val="en-US" w:eastAsia="en-US"/>
        </w:rPr>
        <w:t xml:space="preserve">№ 0131300026426000021 </w:t>
      </w:r>
      <w:r>
        <w:rPr>
          <w:rStyle w:val="CharStyle15"/>
        </w:rPr>
        <w:t xml:space="preserve">(далее </w:t>
      </w:r>
      <w:r>
        <w:rPr>
          <w:rStyle w:val="CharStyle15"/>
          <w:lang w:val="en-US" w:eastAsia="en-US"/>
        </w:rPr>
        <w:t xml:space="preserve">– </w:t>
      </w:r>
      <w:r>
        <w:rPr>
          <w:rStyle w:val="CharStyle15"/>
        </w:rPr>
        <w:t>Извещение).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Начальная (максимальная) цена контракта составляет </w:t>
      </w:r>
      <w:r>
        <w:rPr>
          <w:rStyle w:val="CharStyle15"/>
          <w:lang w:val="en-US" w:eastAsia="en-US"/>
        </w:rPr>
        <w:t xml:space="preserve">9 205 878,58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Предметом рассматриваемой закупки является выполнение работ по капитальному ремонту автомобильных дорог общего пользования местного значения Терновского муниципального района Воронежской области.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Определение поставщика (подрядчика, исполнителя) осуществляется путём проведения открытого конкурса в электронной форме на проведение работ по строительству, реконструкции, кап. ремонту, сносу объекта кап. строительства в соответствии с п. </w:t>
      </w:r>
      <w:r>
        <w:rPr>
          <w:rStyle w:val="CharStyle15"/>
          <w:lang w:val="en-US" w:eastAsia="en-US"/>
        </w:rPr>
        <w:t xml:space="preserve">8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Закупка вне рамок национального проекта, код бюджетной классификации 9140409241029Д130243.</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Оценивая </w:t>
      </w:r>
      <w:r>
        <w:rPr>
          <w:rStyle w:val="CharStyle15"/>
          <w:lang w:val="en-US" w:eastAsia="en-US"/>
        </w:rPr>
        <w:t xml:space="preserve">1 </w:t>
      </w:r>
      <w:r>
        <w:rPr>
          <w:rStyle w:val="CharStyle15"/>
        </w:rPr>
        <w:t xml:space="preserve">и </w:t>
      </w:r>
      <w:r>
        <w:rPr>
          <w:rStyle w:val="CharStyle15"/>
          <w:lang w:val="en-US" w:eastAsia="en-US"/>
        </w:rPr>
        <w:t xml:space="preserve">2 </w:t>
      </w:r>
      <w:r>
        <w:rPr>
          <w:rStyle w:val="CharStyle15"/>
        </w:rPr>
        <w:t>доводы жалобы, Комиссия Воронежского УФАС России приходит к следующему.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статье </w:t>
      </w:r>
      <w:r>
        <w:rPr>
          <w:rStyle w:val="CharStyle15"/>
          <w:lang w:val="en-US" w:eastAsia="en-US"/>
        </w:rPr>
        <w:t xml:space="preserve">7 </w:t>
      </w:r>
      <w:r>
        <w:rPr>
          <w:rStyle w:val="CharStyle15"/>
        </w:rPr>
        <w:t xml:space="preserve">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 Открытость и прозрачность информации, указанной в части </w:t>
      </w:r>
      <w:r>
        <w:rPr>
          <w:rStyle w:val="CharStyle15"/>
          <w:lang w:val="en-US" w:eastAsia="en-US"/>
        </w:rPr>
        <w:t xml:space="preserve">1 </w:t>
      </w:r>
      <w:r>
        <w:rPr>
          <w:rStyle w:val="CharStyle15"/>
        </w:rPr>
        <w:t>статьи, обеспечиваются, в частности, путем ее размещения в единой информационной системе. 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13 </w:t>
      </w:r>
      <w:r>
        <w:rPr>
          <w:rStyle w:val="CharStyle15"/>
        </w:rPr>
        <w:t xml:space="preserve">статьи </w:t>
      </w:r>
      <w:r>
        <w:rPr>
          <w:rStyle w:val="CharStyle15"/>
          <w:lang w:val="en-US" w:eastAsia="en-US"/>
        </w:rPr>
        <w:t xml:space="preserve">48 </w:t>
      </w:r>
      <w:r>
        <w:rPr>
          <w:rStyle w:val="CharStyle15"/>
        </w:rPr>
        <w:t>Закона о контрактной системе протокол рассмотрения и оценки вторых частей заявок на участие в закупке должен содержать:</w:t>
      </w:r>
    </w:p>
    <w:p>
      <w:pPr>
        <w:pStyle w:val="Style14"/>
        <w:keepNext w:val="0"/>
        <w:keepLines w:val="0"/>
        <w:widowControl w:val="0"/>
        <w:numPr>
          <w:ilvl w:val="0"/>
          <w:numId w:val="5"/>
        </w:numPr>
        <w:shd w:val="clear" w:color="auto" w:fill="auto"/>
        <w:tabs>
          <w:tab w:pos="1108" w:val="left"/>
        </w:tabs>
        <w:bidi w:val="0"/>
        <w:spacing w:before="0" w:after="0" w:line="240" w:lineRule="auto"/>
        <w:ind w:left="0" w:right="0" w:firstLine="720"/>
        <w:jc w:val="both"/>
      </w:pPr>
      <w:r>
        <w:rPr>
          <w:rStyle w:val="CharStyle15"/>
        </w:rPr>
        <w:t>дату рассмотрения и оценки вторых частей заявок на участие в закупке идентификационные номера таких заявок;</w:t>
      </w:r>
    </w:p>
    <w:p>
      <w:pPr>
        <w:pStyle w:val="Style14"/>
        <w:keepNext w:val="0"/>
        <w:keepLines w:val="0"/>
        <w:widowControl w:val="0"/>
        <w:numPr>
          <w:ilvl w:val="0"/>
          <w:numId w:val="5"/>
        </w:numPr>
        <w:shd w:val="clear" w:color="auto" w:fill="auto"/>
        <w:tabs>
          <w:tab w:pos="1113" w:val="left"/>
        </w:tabs>
        <w:bidi w:val="0"/>
        <w:spacing w:before="0" w:after="0" w:line="240" w:lineRule="auto"/>
        <w:ind w:left="0" w:right="0" w:firstLine="720"/>
        <w:jc w:val="both"/>
      </w:pPr>
      <w:r>
        <w:rPr>
          <w:rStyle w:val="CharStyle15"/>
        </w:rPr>
        <w:t>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pPr>
        <w:pStyle w:val="Style14"/>
        <w:keepNext w:val="0"/>
        <w:keepLines w:val="0"/>
        <w:widowControl w:val="0"/>
        <w:numPr>
          <w:ilvl w:val="0"/>
          <w:numId w:val="5"/>
        </w:numPr>
        <w:shd w:val="clear" w:color="auto" w:fill="auto"/>
        <w:tabs>
          <w:tab w:pos="1108" w:val="left"/>
        </w:tabs>
        <w:bidi w:val="0"/>
        <w:spacing w:before="0" w:after="0" w:line="240" w:lineRule="auto"/>
        <w:ind w:left="0" w:right="0" w:firstLine="720"/>
        <w:jc w:val="both"/>
      </w:pPr>
      <w:r>
        <w:rPr>
          <w:rStyle w:val="CharStyle15"/>
        </w:rPr>
        <w:t xml:space="preserve">присвоенные вторым частям заявок на участие в закупке, признанным соответствующими извещению об осуществлении закупки, значения по критерию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 xml:space="preserve">предусмотренному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32 </w:t>
      </w:r>
      <w:r>
        <w:rPr>
          <w:rStyle w:val="CharStyle15"/>
        </w:rPr>
        <w:t>настоящего Федерального закона (в случае установления такого критерия в извещении об осуществлении закупки);</w:t>
      </w:r>
    </w:p>
    <w:p>
      <w:pPr>
        <w:pStyle w:val="Style14"/>
        <w:keepNext w:val="0"/>
        <w:keepLines w:val="0"/>
        <w:widowControl w:val="0"/>
        <w:numPr>
          <w:ilvl w:val="0"/>
          <w:numId w:val="5"/>
        </w:numPr>
        <w:shd w:val="clear" w:color="auto" w:fill="auto"/>
        <w:tabs>
          <w:tab w:pos="1113" w:val="left"/>
        </w:tabs>
        <w:bidi w:val="0"/>
        <w:spacing w:before="0" w:after="0" w:line="240" w:lineRule="auto"/>
        <w:ind w:left="0" w:right="0" w:firstLine="720"/>
        <w:jc w:val="both"/>
      </w:pPr>
      <w:r>
        <w:rPr>
          <w:rStyle w:val="CharStyle15"/>
        </w:rPr>
        <w:t>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4"/>
        <w:keepNext w:val="0"/>
        <w:keepLines w:val="0"/>
        <w:widowControl w:val="0"/>
        <w:numPr>
          <w:ilvl w:val="0"/>
          <w:numId w:val="5"/>
        </w:numPr>
        <w:shd w:val="clear" w:color="auto" w:fill="auto"/>
        <w:tabs>
          <w:tab w:pos="1108" w:val="left"/>
        </w:tabs>
        <w:bidi w:val="0"/>
        <w:spacing w:before="0" w:after="0" w:line="240" w:lineRule="auto"/>
        <w:ind w:left="0" w:right="0" w:firstLine="720"/>
        <w:jc w:val="both"/>
      </w:pPr>
      <w:r>
        <w:rPr>
          <w:rStyle w:val="CharStyle15"/>
        </w:rPr>
        <w:t xml:space="preserve">информацию о признании определения поставщика (подрядчика исполнителя) пунктами </w:t>
      </w:r>
      <w:r>
        <w:rPr>
          <w:rStyle w:val="CharStyle15"/>
          <w:lang w:val="en-US" w:eastAsia="en-US"/>
        </w:rPr>
        <w:t xml:space="preserve">2 4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52 </w:t>
      </w:r>
      <w:r>
        <w:rPr>
          <w:rStyle w:val="CharStyle15"/>
        </w:rPr>
        <w:t xml:space="preserve">несостоявшимся в случаях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52 </w:t>
      </w:r>
      <w:r>
        <w:rPr>
          <w:rStyle w:val="CharStyle15"/>
        </w:rPr>
        <w:t>настоящего Федерального</w:t>
      </w:r>
    </w:p>
    <w:p>
      <w:pPr>
        <w:pStyle w:val="Style14"/>
        <w:keepNext w:val="0"/>
        <w:keepLines w:val="0"/>
        <w:widowControl w:val="0"/>
        <w:shd w:val="clear" w:color="auto" w:fill="auto"/>
        <w:bidi w:val="0"/>
        <w:spacing w:before="0" w:after="0" w:line="240" w:lineRule="auto"/>
        <w:ind w:left="0" w:right="0" w:firstLine="0"/>
        <w:jc w:val="both"/>
      </w:pPr>
      <w:r>
        <w:rPr>
          <w:rStyle w:val="CharStyle15"/>
        </w:rPr>
        <w:t>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 согласно Протоколу, Комиссией по осуществлению закупок указаны дата рассмотрения и оценки вторых частей заявок на участие в закупке идентификационные номера заявок, информацию о принятом решении о признании второй части заявки на участие в закупке соответствующей извещению об осуществлении закупки, значения по критериям, установленным в извещении информация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Комиссией по осуществлению закупок не нарушены нормы законодательства о контрактной системе, доводы признаны необоснованными.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Оценивая довод жалобы </w:t>
      </w:r>
      <w:r>
        <w:rPr>
          <w:rStyle w:val="CharStyle15"/>
          <w:lang w:val="en-US" w:eastAsia="en-US"/>
        </w:rPr>
        <w:t xml:space="preserve">3, </w:t>
      </w:r>
      <w:r>
        <w:rPr>
          <w:rStyle w:val="CharStyle15"/>
        </w:rPr>
        <w:t>Комиссия Воронежского УФАС приходит к следующему.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и документы, предусмотренные 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 </w:t>
      </w:r>
      <w:r>
        <w:rPr>
          <w:rStyle w:val="CharStyle15"/>
          <w:lang w:val="en-US" w:eastAsia="en-US"/>
        </w:rPr>
        <w:t xml:space="preserve">11 </w:t>
      </w:r>
      <w:r>
        <w:rPr>
          <w:rStyle w:val="CharStyle15"/>
        </w:rPr>
        <w:t xml:space="preserve">ч. </w:t>
      </w:r>
      <w:r>
        <w:rPr>
          <w:rStyle w:val="CharStyle15"/>
          <w:lang w:val="en-US" w:eastAsia="en-US"/>
        </w:rPr>
        <w:t xml:space="preserve">1 </w:t>
      </w:r>
      <w:r>
        <w:rPr>
          <w:rStyle w:val="CharStyle15"/>
        </w:rPr>
        <w:t xml:space="preserve">ст. </w:t>
      </w:r>
      <w:r>
        <w:rPr>
          <w:rStyle w:val="CharStyle15"/>
          <w:lang w:val="en-US" w:eastAsia="en-US"/>
        </w:rPr>
        <w:t xml:space="preserve">42 </w:t>
      </w:r>
      <w:r>
        <w:rPr>
          <w:rStyle w:val="CharStyle15"/>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Извещении о проведении настоящего конкурса установлены следующие критерии: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Критерии оценки заявок</w:t>
      </w:r>
    </w:p>
    <w:p>
      <w:pPr>
        <w:pStyle w:val="Style14"/>
        <w:keepNext w:val="0"/>
        <w:keepLines w:val="0"/>
        <w:widowControl w:val="0"/>
        <w:numPr>
          <w:ilvl w:val="0"/>
          <w:numId w:val="7"/>
        </w:numPr>
        <w:shd w:val="clear" w:color="auto" w:fill="auto"/>
        <w:tabs>
          <w:tab w:pos="1096" w:val="left"/>
        </w:tabs>
        <w:bidi w:val="0"/>
        <w:spacing w:before="0" w:after="0" w:line="240" w:lineRule="auto"/>
        <w:ind w:left="0" w:right="0" w:firstLine="720"/>
        <w:jc w:val="both"/>
      </w:pPr>
      <w:r>
        <w:rPr>
          <w:rStyle w:val="CharStyle15"/>
        </w:rPr>
        <w:t xml:space="preserve">Цена контракта. Значимость критерия оценки: </w:t>
      </w:r>
      <w:r>
        <w:rPr>
          <w:rStyle w:val="CharStyle15"/>
          <w:lang w:val="en-US" w:eastAsia="en-US"/>
        </w:rPr>
        <w:t>60.00%.</w:t>
      </w:r>
    </w:p>
    <w:p>
      <w:pPr>
        <w:pStyle w:val="Style14"/>
        <w:keepNext w:val="0"/>
        <w:keepLines w:val="0"/>
        <w:widowControl w:val="0"/>
        <w:numPr>
          <w:ilvl w:val="0"/>
          <w:numId w:val="7"/>
        </w:numPr>
        <w:shd w:val="clear" w:color="auto" w:fill="auto"/>
        <w:tabs>
          <w:tab w:pos="1091" w:val="left"/>
        </w:tabs>
        <w:bidi w:val="0"/>
        <w:spacing w:before="0" w:after="0" w:line="240" w:lineRule="auto"/>
        <w:ind w:left="0" w:right="0" w:firstLine="720"/>
        <w:jc w:val="both"/>
      </w:pPr>
      <w:r>
        <w:rPr>
          <w:rStyle w:val="CharStyle15"/>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w:t>
      </w:r>
      <w:r>
        <w:rPr>
          <w:rStyle w:val="CharStyle15"/>
          <w:lang w:val="en-US" w:eastAsia="en-US"/>
        </w:rPr>
        <w:t xml:space="preserve">cвязанного </w:t>
      </w:r>
      <w:r>
        <w:rPr>
          <w:rStyle w:val="CharStyle15"/>
        </w:rPr>
        <w:t xml:space="preserve">с предметом контракта, и деловой репутации, специалистов и иных работников определенного уровня квалификации. Значимость критерия оценки: </w:t>
      </w:r>
      <w:r>
        <w:rPr>
          <w:rStyle w:val="CharStyle15"/>
          <w:lang w:val="en-US" w:eastAsia="en-US"/>
        </w:rPr>
        <w:t>40.00%.</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Порядком рассмотрения и оценки заявок на участие в конкурсе «К оценке принимается исключительно договор (договоры) предусматривающий выполнение работ на автомобильной дороге, который не относится к контрактам, указанным в абзацах втором </w:t>
      </w:r>
      <w:r>
        <w:rPr>
          <w:rStyle w:val="CharStyle15"/>
          <w:lang w:val="en-US" w:eastAsia="en-US"/>
        </w:rPr>
        <w:t xml:space="preserve">- </w:t>
      </w:r>
      <w:r>
        <w:rPr>
          <w:rStyle w:val="CharStyle15"/>
        </w:rPr>
        <w:t xml:space="preserve">четвертом подпункта «г» п. </w:t>
      </w:r>
      <w:r>
        <w:rPr>
          <w:rStyle w:val="CharStyle15"/>
          <w:lang w:val="en-US" w:eastAsia="en-US"/>
        </w:rPr>
        <w:t xml:space="preserve">31 </w:t>
      </w:r>
      <w:r>
        <w:rPr>
          <w:rStyle w:val="CharStyle15"/>
        </w:rPr>
        <w:t xml:space="preserve">Положения, и предусматривает выполнение работ по строительству реконструкции, капитальному ремонту, сносу вышеуказанного объекта капитального строительства, заключенный и исполненный в соответствии с Федеральным законом от </w:t>
      </w:r>
      <w:r>
        <w:rPr>
          <w:rStyle w:val="CharStyle15"/>
          <w:lang w:val="en-US" w:eastAsia="en-US"/>
        </w:rPr>
        <w:t xml:space="preserve">05.04.2013 № </w:t>
      </w:r>
      <w:r>
        <w:rPr>
          <w:rStyle w:val="CharStyle15"/>
        </w:rPr>
        <w:t>44-ФЗ «О контрактной системе в сфере закупок товаров, работ</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услуг для обеспечения государственных и муниципальных нужд» или Федеральным законом от </w:t>
      </w:r>
      <w:r>
        <w:rPr>
          <w:rStyle w:val="CharStyle15"/>
          <w:lang w:val="en-US" w:eastAsia="en-US"/>
        </w:rPr>
        <w:t xml:space="preserve">18.07.2011 № </w:t>
      </w:r>
      <w:r>
        <w:rPr>
          <w:rStyle w:val="CharStyle15"/>
        </w:rPr>
        <w:t>223-ФЗ «О закупках товаров, работ, услуг отдельными видами юридических лиц». Перечень документов, подтверждающих наличие у участников закупки опыта выполнения работы, связанного с предметом контракта:</w:t>
      </w:r>
    </w:p>
    <w:p>
      <w:pPr>
        <w:pStyle w:val="Style14"/>
        <w:keepNext w:val="0"/>
        <w:keepLines w:val="0"/>
        <w:widowControl w:val="0"/>
        <w:numPr>
          <w:ilvl w:val="0"/>
          <w:numId w:val="9"/>
        </w:numPr>
        <w:shd w:val="clear" w:color="auto" w:fill="auto"/>
        <w:tabs>
          <w:tab w:pos="1016" w:val="left"/>
        </w:tabs>
        <w:bidi w:val="0"/>
        <w:spacing w:before="0" w:after="0" w:line="240" w:lineRule="auto"/>
        <w:ind w:left="0" w:right="0" w:firstLine="720"/>
        <w:jc w:val="both"/>
      </w:pPr>
      <w:r>
        <w:rPr>
          <w:rStyle w:val="CharStyle15"/>
        </w:rPr>
        <w:t>исполненный договор (договоры),</w:t>
      </w:r>
    </w:p>
    <w:p>
      <w:pPr>
        <w:pStyle w:val="Style14"/>
        <w:keepNext w:val="0"/>
        <w:keepLines w:val="0"/>
        <w:widowControl w:val="0"/>
        <w:numPr>
          <w:ilvl w:val="0"/>
          <w:numId w:val="9"/>
        </w:numPr>
        <w:shd w:val="clear" w:color="auto" w:fill="auto"/>
        <w:tabs>
          <w:tab w:pos="1002" w:val="left"/>
        </w:tabs>
        <w:bidi w:val="0"/>
        <w:spacing w:before="0" w:after="0" w:line="240" w:lineRule="auto"/>
        <w:ind w:left="0" w:right="0" w:firstLine="720"/>
        <w:jc w:val="both"/>
      </w:pPr>
      <w:r>
        <w:rPr>
          <w:rStyle w:val="CharStyle15"/>
        </w:rPr>
        <w:t>акт (акты) приемки выполненных работ, оказанных услуг, составленные при исполнении такого договора (договоров).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Документы принимаются к оценке в том числе если к ним не приложена проектная документация (если проектная документация является приложением к таким документам).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 оценке принимаются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Последний акт, составленный при исполнении договора (договоров) должен быть подписан не ранее чем за </w:t>
      </w:r>
      <w:r>
        <w:rPr>
          <w:rStyle w:val="CharStyle15"/>
          <w:lang w:val="en-US" w:eastAsia="en-US"/>
        </w:rPr>
        <w:t xml:space="preserve">5 </w:t>
      </w:r>
      <w:r>
        <w:rPr>
          <w:rStyle w:val="CharStyle15"/>
        </w:rPr>
        <w:t>лет до даты окончания срока подачи заявок.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протоколом подведения итогов определения поставщика (подрядчика, исполнителя) от </w:t>
      </w:r>
      <w:r>
        <w:rPr>
          <w:rStyle w:val="CharStyle15"/>
          <w:lang w:val="en-US" w:eastAsia="en-US"/>
        </w:rPr>
        <w:t xml:space="preserve">05.05.2026 </w:t>
      </w:r>
      <w:r>
        <w:rPr>
          <w:rStyle w:val="CharStyle15"/>
        </w:rPr>
        <w:t xml:space="preserve">№ИЭОК1 заявке Заявителя было присвоено </w:t>
      </w:r>
      <w:r>
        <w:rPr>
          <w:rStyle w:val="CharStyle15"/>
          <w:lang w:val="en-US" w:eastAsia="en-US"/>
        </w:rPr>
        <w:t xml:space="preserve">85.12 </w:t>
      </w:r>
      <w:r>
        <w:rPr>
          <w:rStyle w:val="CharStyle15"/>
        </w:rPr>
        <w:t>баллов.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ходе заседания Заказчик пояснил, что комиссия по осуществлению закупок по заявке Заявителя приняла к рассмотрению </w:t>
      </w:r>
      <w:r>
        <w:rPr>
          <w:rStyle w:val="CharStyle15"/>
          <w:lang w:val="en-US" w:eastAsia="en-US"/>
        </w:rPr>
        <w:t xml:space="preserve">133 </w:t>
      </w:r>
      <w:r>
        <w:rPr>
          <w:rStyle w:val="CharStyle15"/>
        </w:rPr>
        <w:t xml:space="preserve">договора из </w:t>
      </w:r>
      <w:r>
        <w:rPr>
          <w:rStyle w:val="CharStyle15"/>
          <w:lang w:val="en-US" w:eastAsia="en-US"/>
        </w:rPr>
        <w:t xml:space="preserve">191, </w:t>
      </w:r>
      <w:r>
        <w:rPr>
          <w:rStyle w:val="CharStyle15"/>
        </w:rPr>
        <w:t xml:space="preserve">на сумму </w:t>
      </w:r>
      <w:r>
        <w:rPr>
          <w:rStyle w:val="CharStyle15"/>
          <w:lang w:val="en-US" w:eastAsia="en-US"/>
        </w:rPr>
        <w:t xml:space="preserve">594 843 673,97 </w:t>
      </w:r>
      <w:r>
        <w:rPr>
          <w:rStyle w:val="CharStyle15"/>
        </w:rPr>
        <w:t xml:space="preserve">руб. из </w:t>
      </w:r>
      <w:r>
        <w:rPr>
          <w:rStyle w:val="CharStyle15"/>
          <w:lang w:val="en-US" w:eastAsia="en-US"/>
        </w:rPr>
        <w:t xml:space="preserve">1 692 350 767,35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 этом, число принятых контрактов (договоров) </w:t>
      </w:r>
      <w:r>
        <w:rPr>
          <w:rStyle w:val="CharStyle15"/>
          <w:lang w:val="en-US" w:eastAsia="en-US"/>
        </w:rPr>
        <w:t xml:space="preserve">— 133, </w:t>
      </w:r>
      <w:r>
        <w:rPr>
          <w:rStyle w:val="CharStyle15"/>
        </w:rPr>
        <w:t>является ошибочным, в связи с тем, что ошибочно были учтены два раза контракты Заявителя, заключенные с ним как единственным поставщиком по закону о контактной системе, однако допущенная техническая ошибка, как указал представитель Заказчика, не повлияла на результаты торгов.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Кроме того, при подсчете баллов, комиссией по осуществлению закупок не были приняты договоры, которые носили гражданско-правовой характер, что отвечает требованиям установленным Порядком рассмотрения и оценки заявок на участие в конкурсе.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 основании изложенного, с учетом предоставленных документов и объяснений сторон Комиссия Воронежского УФАС России не усматривает нарушений законодательства о контрактной системе в действиях комиссии по осуществлению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Руководствуясь 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 xml:space="preserve">Закона </w:t>
      </w:r>
      <w:r>
        <w:rPr>
          <w:rStyle w:val="CharStyle15"/>
          <w:lang w:val="en-US" w:eastAsia="en-US"/>
        </w:rPr>
        <w:t xml:space="preserve">№ </w:t>
      </w:r>
      <w:r>
        <w:rPr>
          <w:rStyle w:val="CharStyle15"/>
        </w:rPr>
        <w:t>44-ФЗ, Комиссия Воронежского УФАС России,</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Р Е Ш И Л 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Признать жалобу общества с ограниченной ответственностью «ДСФ СПЕЦДОРСЕРВИС» на действия администрации Терновского муниципального района Воронежской области при проведении закупки на выполнение работ по</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капитальному ремонту автомобильных дорог общего пользования местного значения Терновского муниципального района Воронежской области (номер извещения </w:t>
      </w:r>
      <w:r>
        <w:rPr>
          <w:rStyle w:val="CharStyle15"/>
          <w:lang w:val="en-US" w:eastAsia="en-US"/>
        </w:rPr>
        <w:t xml:space="preserve">0131300026426000021) </w:t>
      </w:r>
      <w:r>
        <w:rPr>
          <w:rStyle w:val="CharStyle15"/>
        </w:rPr>
        <w:t>необоснованной.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Настоящее решение может быть обжаловано заинтересованными лицами в судебном порядке в установленный законом срок.</w:t>
      </w:r>
    </w:p>
    <w:p>
      <w:pPr>
        <w:widowControl w:val="0"/>
        <w:spacing w:line="1" w:lineRule="exact"/>
        <w:sectPr>
          <w:footnotePr>
            <w:pos w:val="pageBottom"/>
            <w:numFmt w:val="decimal"/>
            <w:numRestart w:val="continuous"/>
          </w:footnotePr>
          <w:type w:val="continuous"/>
          <w:pgSz w:w="11900" w:h="16840"/>
          <w:pgMar w:top="1105" w:right="546" w:bottom="1198" w:left="1102" w:header="0" w:footer="3" w:gutter="0"/>
          <w:cols w:space="720"/>
          <w:noEndnote/>
          <w:rtlGutter w:val="0"/>
          <w:docGrid w:linePitch="360"/>
        </w:sectPr>
      </w:pPr>
      <w:r>
        <mc:AlternateContent>
          <mc:Choice Requires="wps">
            <w:drawing>
              <wp:anchor distT="711200" distB="203835" distL="0" distR="0" simplePos="0" relativeHeight="125829380" behindDoc="0" locked="0" layoutInCell="1" allowOverlap="1">
                <wp:simplePos x="0" y="0"/>
                <wp:positionH relativeFrom="page">
                  <wp:posOffset>737870</wp:posOffset>
                </wp:positionH>
                <wp:positionV relativeFrom="paragraph">
                  <wp:posOffset>711200</wp:posOffset>
                </wp:positionV>
                <wp:extent cx="1822450" cy="250190"/>
                <wp:wrapTopAndBottom/>
                <wp:docPr id="9" name="Shape 9"/>
                <a:graphic xmlns:a="http://schemas.openxmlformats.org/drawingml/2006/main">
                  <a:graphicData uri="http://schemas.microsoft.com/office/word/2010/wordprocessingShape">
                    <wps:wsp>
                      <wps:cNvSpPr txBox="1"/>
                      <wps:spPr>
                        <a:xfrm>
                          <a:ext cx="182245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100000000000001pt;margin-top:56.pt;width:143.5pt;height:19.699999999999999pt;z-index:-125829373;mso-wrap-distance-left:0;mso-wrap-distance-top:56.pt;mso-wrap-distance-right:0;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799465" distB="0" distL="0" distR="1804670" simplePos="0" relativeHeight="125829382" behindDoc="0" locked="0" layoutInCell="1" allowOverlap="1">
            <wp:simplePos x="0" y="0"/>
            <wp:positionH relativeFrom="page">
              <wp:posOffset>2679700</wp:posOffset>
            </wp:positionH>
            <wp:positionV relativeFrom="paragraph">
              <wp:posOffset>799465</wp:posOffset>
            </wp:positionV>
            <wp:extent cx="316865" cy="36576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3075940</wp:posOffset>
                </wp:positionH>
                <wp:positionV relativeFrom="paragraph">
                  <wp:posOffset>869315</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20000000000002pt;margin-top:68.450000000000003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11200" distB="203835" distL="0" distR="0" simplePos="0" relativeHeight="125829383" behindDoc="0" locked="0" layoutInCell="1" allowOverlap="1">
                <wp:simplePos x="0" y="0"/>
                <wp:positionH relativeFrom="page">
                  <wp:posOffset>5861685</wp:posOffset>
                </wp:positionH>
                <wp:positionV relativeFrom="paragraph">
                  <wp:posOffset>711200</wp:posOffset>
                </wp:positionV>
                <wp:extent cx="1325880" cy="250190"/>
                <wp:wrapTopAndBottom/>
                <wp:docPr id="15" name="Shape 15"/>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Ю.В. Рощупкина</w:t>
                            </w:r>
                          </w:p>
                        </w:txbxContent>
                      </wps:txbx>
                      <wps:bodyPr wrap="none" lIns="0" tIns="0" rIns="0" bIns="0">
                        <a:noAutoFit/>
                      </wps:bodyPr>
                    </wps:wsp>
                  </a:graphicData>
                </a:graphic>
              </wp:anchor>
            </w:drawing>
          </mc:Choice>
          <mc:Fallback>
            <w:pict>
              <v:shape id="_x0000_s1041" type="#_x0000_t202" style="position:absolute;margin-left:461.55000000000001pt;margin-top:56.pt;width:104.40000000000001pt;height:19.699999999999999pt;z-index:-125829370;mso-wrap-distance-left:0;mso-wrap-distance-top:56.pt;mso-wrap-distance-right:0;mso-wrap-distance-bottom:16.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Ю.В. Рощупкина</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Style w:val="CharStyle21"/>
          <w:color w:val="FFFFFF"/>
          <w:sz w:val="11"/>
          <w:szCs w:val="11"/>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rPr>
          <w:sz w:val="11"/>
          <w:szCs w:val="11"/>
        </w:rPr>
      </w:pPr>
      <w:r>
        <w:rPr>
          <w:rStyle w:val="CharStyle21"/>
        </w:rPr>
        <w:t xml:space="preserve">Кому выдан: </w:t>
      </w:r>
      <w:r>
        <w:rPr>
          <w:rStyle w:val="CharStyle21"/>
          <w:color w:val="000000"/>
          <w:sz w:val="11"/>
          <w:szCs w:val="11"/>
        </w:rPr>
        <w:t>Рощупкина Юлия Вениаминовна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00AF4D3D160B60C8EFFA4933C71</w:t>
      </w:r>
      <w:r>
        <w:rPr>
          <w:rStyle w:val="CharStyle21"/>
        </w:rPr>
        <w:t>1509056</w:t>
      </w:r>
    </w:p>
    <w:p>
      <w:pPr>
        <w:pStyle w:val="Style20"/>
        <w:keepNext w:val="0"/>
        <w:keepLines w:val="0"/>
        <w:widowControl w:val="0"/>
        <w:shd w:val="clear" w:color="auto" w:fill="auto"/>
        <w:bidi w:val="0"/>
        <w:spacing w:before="0" w:after="0" w:line="240" w:lineRule="auto"/>
        <w:ind w:right="0" w:firstLine="0"/>
        <w:jc w:val="left"/>
      </w:pPr>
      <w:r>
        <w:rPr>
          <w:rStyle w:val="CharStyle21"/>
        </w:rPr>
        <w:t>Действителен с 17.04.2026 по 11.07.2027</w:t>
      </w:r>
    </w:p>
    <w:p>
      <w:pPr>
        <w:widowControl w:val="0"/>
        <w:spacing w:line="1" w:lineRule="exact"/>
        <w:sectPr>
          <w:footnotePr>
            <w:pos w:val="pageBottom"/>
            <w:numFmt w:val="decimal"/>
            <w:numRestart w:val="continuous"/>
          </w:footnotePr>
          <w:type w:val="continuous"/>
          <w:pgSz w:w="11900" w:h="16840"/>
          <w:pgMar w:top="1105" w:right="551" w:bottom="7721" w:left="1111" w:header="0" w:footer="3" w:gutter="0"/>
          <w:cols w:space="720"/>
          <w:noEndnote/>
          <w:rtlGutter w:val="0"/>
          <w:docGrid w:linePitch="360"/>
        </w:sectPr>
      </w:pPr>
      <w:r>
        <mc:AlternateContent>
          <mc:Choice Requires="wps">
            <w:drawing>
              <wp:anchor distT="88900" distB="216535" distL="0" distR="0" simplePos="0" relativeHeight="125829385" behindDoc="0" locked="0" layoutInCell="1" allowOverlap="1">
                <wp:simplePos x="0" y="0"/>
                <wp:positionH relativeFrom="page">
                  <wp:posOffset>734695</wp:posOffset>
                </wp:positionH>
                <wp:positionV relativeFrom="paragraph">
                  <wp:posOffset>88900</wp:posOffset>
                </wp:positionV>
                <wp:extent cx="1344295" cy="252730"/>
                <wp:wrapTopAndBottom/>
                <wp:docPr id="17" name="Shape 17"/>
                <a:graphic xmlns:a="http://schemas.openxmlformats.org/drawingml/2006/main">
                  <a:graphicData uri="http://schemas.microsoft.com/office/word/2010/wordprocessingShape">
                    <wps:wsp>
                      <wps:cNvSpPr txBox="1"/>
                      <wps:spPr>
                        <a:xfrm>
                          <a:ext cx="134429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3" type="#_x0000_t202" style="position:absolute;margin-left:57.850000000000001pt;margin-top:7.pt;width:105.85000000000001pt;height:19.900000000000002pt;z-index:-125829368;mso-wrap-distance-left:0;mso-wrap-distance-top:7.pt;mso-wrap-distance-right:0;mso-wrap-distance-bottom:17.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65100" distB="0" distL="0" distR="1786255" simplePos="0" relativeHeight="125829387" behindDoc="0" locked="0" layoutInCell="1" allowOverlap="1">
            <wp:simplePos x="0" y="0"/>
            <wp:positionH relativeFrom="page">
              <wp:posOffset>2654935</wp:posOffset>
            </wp:positionH>
            <wp:positionV relativeFrom="paragraph">
              <wp:posOffset>165100</wp:posOffset>
            </wp:positionV>
            <wp:extent cx="359410" cy="39624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250190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15000000000001pt;margin-top:19.699999999999999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16535" distL="0" distR="0" simplePos="0" relativeHeight="125829388" behindDoc="0" locked="0" layoutInCell="1" allowOverlap="1">
                <wp:simplePos x="0" y="0"/>
                <wp:positionH relativeFrom="page">
                  <wp:posOffset>5980430</wp:posOffset>
                </wp:positionH>
                <wp:positionV relativeFrom="paragraph">
                  <wp:posOffset>88900</wp:posOffset>
                </wp:positionV>
                <wp:extent cx="1210310" cy="252730"/>
                <wp:wrapTopAndBottom/>
                <wp:docPr id="23" name="Shape 23"/>
                <a:graphic xmlns:a="http://schemas.openxmlformats.org/drawingml/2006/main">
                  <a:graphicData uri="http://schemas.microsoft.com/office/word/2010/wordprocessingShape">
                    <wps:wsp>
                      <wps:cNvSpPr txBox="1"/>
                      <wps:spPr>
                        <a:xfrm>
                          <a:ext cx="121031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А.Р. Башкирова</w:t>
                            </w:r>
                          </w:p>
                        </w:txbxContent>
                      </wps:txbx>
                      <wps:bodyPr wrap="none" lIns="0" tIns="0" rIns="0" bIns="0">
                        <a:noAutoFit/>
                      </wps:bodyPr>
                    </wps:wsp>
                  </a:graphicData>
                </a:graphic>
              </wp:anchor>
            </w:drawing>
          </mc:Choice>
          <mc:Fallback>
            <w:pict>
              <v:shape id="_x0000_s1049" type="#_x0000_t202" style="position:absolute;margin-left:470.90000000000003pt;margin-top:7.pt;width:95.299999999999997pt;height:19.900000000000002pt;z-index:-125829365;mso-wrap-distance-left:0;mso-wrap-distance-top:7.pt;mso-wrap-distance-right:0;mso-wrap-distance-bottom:17.0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А.Р. Башкирова</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1"/>
          <w:color w:val="FFFFFF"/>
          <w:sz w:val="11"/>
          <w:szCs w:val="11"/>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rPr>
          <w:sz w:val="11"/>
          <w:szCs w:val="11"/>
        </w:rPr>
      </w:pPr>
      <w:r>
        <w:rPr>
          <w:rStyle w:val="CharStyle21"/>
        </w:rPr>
        <w:t xml:space="preserve">Кому выдан: </w:t>
      </w:r>
      <w:r>
        <w:rPr>
          <w:rStyle w:val="CharStyle21"/>
          <w:color w:val="000000"/>
          <w:sz w:val="11"/>
          <w:szCs w:val="11"/>
        </w:rPr>
        <w:t>Башкирова Анастасия Романовна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4FE3D4FC6DEBD554A3AED345029FF022</w:t>
      </w:r>
    </w:p>
    <w:p>
      <w:pPr>
        <w:pStyle w:val="Style20"/>
        <w:keepNext w:val="0"/>
        <w:keepLines w:val="0"/>
        <w:widowControl w:val="0"/>
        <w:shd w:val="clear" w:color="auto" w:fill="auto"/>
        <w:bidi w:val="0"/>
        <w:spacing w:before="0" w:after="260" w:line="240" w:lineRule="auto"/>
        <w:ind w:right="0" w:firstLine="0"/>
        <w:jc w:val="left"/>
      </w:pPr>
      <w:r>
        <w:rPr>
          <w:rStyle w:val="CharStyle21"/>
        </w:rPr>
        <w:t xml:space="preserve">Действителен с 21.04.2026 </w:t>
      </w:r>
      <w:r>
        <w:rPr>
          <w:rStyle w:val="CharStyle21"/>
          <w:color w:val="5D5D5D"/>
        </w:rPr>
        <w:t xml:space="preserve">по </w:t>
      </w:r>
      <w:r>
        <w:rPr>
          <w:rStyle w:val="CharStyle21"/>
        </w:rPr>
        <w:t>15.07.2027</w:t>
      </w:r>
    </w:p>
    <w:p>
      <w:pPr>
        <w:pStyle w:val="Style14"/>
        <w:keepNext w:val="0"/>
        <w:keepLines w:val="0"/>
        <w:widowControl w:val="0"/>
        <w:shd w:val="clear" w:color="auto" w:fill="auto"/>
        <w:bidi w:val="0"/>
        <w:spacing w:before="0" w:after="390" w:line="240" w:lineRule="auto"/>
        <w:ind w:left="1740" w:right="0" w:firstLine="0"/>
        <w:jc w:val="left"/>
      </w:pPr>
      <w:r>
        <w:drawing>
          <wp:anchor distT="0" distB="0" distL="114300" distR="1918970" simplePos="0" relativeHeight="125829390" behindDoc="0" locked="0" layoutInCell="1" allowOverlap="1">
            <wp:simplePos x="0" y="0"/>
            <wp:positionH relativeFrom="page">
              <wp:posOffset>2679065</wp:posOffset>
            </wp:positionH>
            <wp:positionV relativeFrom="paragraph">
              <wp:posOffset>76200</wp:posOffset>
            </wp:positionV>
            <wp:extent cx="316865" cy="3657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16865"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3075305</wp:posOffset>
                </wp:positionH>
                <wp:positionV relativeFrom="paragraph">
                  <wp:posOffset>146050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15000000000001pt;margin-top:11.5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Ю.М. Горелова</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1"/>
          <w:color w:val="FFFFFF"/>
          <w:sz w:val="11"/>
          <w:szCs w:val="11"/>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rPr>
          <w:sz w:val="11"/>
          <w:szCs w:val="11"/>
        </w:rPr>
      </w:pPr>
      <w:r>
        <w:rPr>
          <w:rStyle w:val="CharStyle21"/>
        </w:rPr>
        <w:t xml:space="preserve">Кому выдан: </w:t>
      </w:r>
      <w:r>
        <w:rPr>
          <w:rStyle w:val="CharStyle21"/>
          <w:color w:val="000000"/>
          <w:sz w:val="11"/>
          <w:szCs w:val="11"/>
        </w:rPr>
        <w:t>ГОРЕЛОВА ЮЛИЯ МИХАЙЛОВНА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00FF7542F1CF520D7ED33CCA8883500081</w:t>
      </w:r>
    </w:p>
    <w:p>
      <w:pPr>
        <w:pStyle w:val="Style20"/>
        <w:keepNext w:val="0"/>
        <w:keepLines w:val="0"/>
        <w:widowControl w:val="0"/>
        <w:shd w:val="clear" w:color="auto" w:fill="auto"/>
        <w:bidi w:val="0"/>
        <w:spacing w:before="0" w:after="60" w:line="240" w:lineRule="auto"/>
        <w:ind w:right="0" w:firstLine="0"/>
        <w:jc w:val="left"/>
      </w:pPr>
      <w:r>
        <w:rPr>
          <w:rStyle w:val="CharStyle21"/>
        </w:rPr>
        <w:t xml:space="preserve">Действителен с 21.04.2026 </w:t>
      </w:r>
      <w:r>
        <w:rPr>
          <w:rStyle w:val="CharStyle21"/>
          <w:color w:val="5D5D5D"/>
        </w:rPr>
        <w:t xml:space="preserve">по </w:t>
      </w:r>
      <w:r>
        <w:rPr>
          <w:rStyle w:val="CharStyle21"/>
        </w:rPr>
        <w:t>15.07.2027</w:t>
      </w:r>
    </w:p>
    <w:sectPr>
      <w:footnotePr>
        <w:pos w:val="pageBottom"/>
        <w:numFmt w:val="decimal"/>
        <w:numRestart w:val="continuous"/>
      </w:footnotePr>
      <w:type w:val="continuous"/>
      <w:pgSz w:w="11900" w:h="16840"/>
      <w:pgMar w:top="1105" w:right="551" w:bottom="1105"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725805</wp:posOffset>
              </wp:positionH>
              <wp:positionV relativeFrom="page">
                <wp:posOffset>10046970</wp:posOffset>
              </wp:positionV>
              <wp:extent cx="658495" cy="73025"/>
              <wp:wrapNone/>
              <wp:docPr id="3" name="Shape 3"/>
              <a:graphic xmlns:a="http://schemas.openxmlformats.org/drawingml/2006/main">
                <a:graphicData uri="http://schemas.microsoft.com/office/word/2010/wordprocessingShape">
                  <wps:wsp>
                    <wps:cNvSpPr txBox="1"/>
                    <wps:spPr>
                      <a:xfrm>
                        <a:ext cx="65849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2026-3234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49999999999999pt;margin-top:791.10000000000002pt;width:51.850000000000001pt;height:5.7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2026-3234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9888220</wp:posOffset>
              </wp:positionV>
              <wp:extent cx="658495" cy="73025"/>
              <wp:wrapNone/>
              <wp:docPr id="5" name="Shape 5"/>
              <a:graphic xmlns:a="http://schemas.openxmlformats.org/drawingml/2006/main">
                <a:graphicData uri="http://schemas.microsoft.com/office/word/2010/wordprocessingShape">
                  <wps:wsp>
                    <wps:cNvSpPr txBox="1"/>
                    <wps:spPr>
                      <a:xfrm>
                        <a:ext cx="658495" cy="730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2026-3234</w:t>
                          </w:r>
                        </w:p>
                      </w:txbxContent>
                    </wps:txbx>
                    <wps:bodyPr wrap="none" lIns="0" tIns="0" rIns="0" bIns="0">
                      <a:spAutoFit/>
                    </wps:bodyPr>
                  </wps:wsp>
                </a:graphicData>
              </a:graphic>
            </wp:anchor>
          </w:drawing>
        </mc:Choice>
        <mc:Fallback>
          <w:pict>
            <v:shape id="_x0000_s1031" type="#_x0000_t202" style="position:absolute;margin-left:57.pt;margin-top:778.60000000000002pt;width:51.850000000000001pt;height:5.75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2026-3234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4609D"/>
      <w:sz w:val="19"/>
      <w:szCs w:val="19"/>
      <w:u w:val="none"/>
    </w:rPr>
  </w:style>
  <w:style w:type="character" w:customStyle="1" w:styleId="CharStyle10">
    <w:name w:val="Heading #2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 (4)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44"/>
      <w:szCs w:val="44"/>
      <w:u w:val="none"/>
      <w:lang w:val="en-US" w:eastAsia="en-US"/>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34343"/>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80" w:line="257" w:lineRule="auto"/>
      <w:jc w:val="center"/>
    </w:pPr>
    <w:rPr>
      <w:rFonts w:ascii="Times New Roman" w:eastAsia="Times New Roman" w:hAnsi="Times New Roman" w:cs="Times New Roman"/>
      <w:b/>
      <w:bCs/>
      <w:i w:val="0"/>
      <w:iCs w:val="0"/>
      <w:smallCaps w:val="0"/>
      <w:strike w:val="0"/>
      <w:color w:val="44609D"/>
      <w:sz w:val="19"/>
      <w:szCs w:val="19"/>
      <w:u w:val="none"/>
    </w:rPr>
  </w:style>
  <w:style w:type="paragraph" w:customStyle="1" w:styleId="Style9">
    <w:name w:val="Heading #2"/>
    <w:basedOn w:val="Normal"/>
    <w:link w:val="CharStyle10"/>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Body text (4)"/>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Heading #1"/>
    <w:basedOn w:val="Normal"/>
    <w:link w:val="CharStyle19"/>
    <w:pPr>
      <w:widowControl w:val="0"/>
      <w:shd w:val="clear" w:color="auto" w:fill="auto"/>
      <w:spacing w:after="380"/>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20">
    <w:name w:val="Body text (2)"/>
    <w:basedOn w:val="Normal"/>
    <w:link w:val="CharStyle21"/>
    <w:pPr>
      <w:widowControl w:val="0"/>
      <w:shd w:val="clear" w:color="auto" w:fill="auto"/>
      <w:ind w:left="310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