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567055"/>
                    </a:xfrm>
                    <a:prstGeom prst="rect"/>
                  </pic:spPr>
                </pic:pic>
              </a:graphicData>
            </a:graphic>
          </wp:anchor>
        </w:drawing>
      </w:r>
    </w:p>
    <w:p>
      <w:pPr>
        <w:widowControl w:val="0"/>
        <w:spacing w:after="52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6" w:bottom="1168" w:left="109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400"/>
        <w:jc w:val="left"/>
      </w:pPr>
      <w:r>
        <w:rPr>
          <w:rStyle w:val="CharStyle6"/>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rStyle w:val="CharStyle6"/>
        </w:rPr>
        <w:t>тел./факс+7 (473) 255-92-44</w:t>
      </w:r>
    </w:p>
    <w:p>
      <w:pPr>
        <w:pStyle w:val="Style5"/>
        <w:keepNext w:val="0"/>
        <w:keepLines w:val="0"/>
        <w:widowControl w:val="0"/>
        <w:shd w:val="clear" w:color="auto" w:fill="auto"/>
        <w:bidi w:val="0"/>
        <w:spacing w:before="0" w:after="260"/>
        <w:ind w:left="0" w:right="0" w:firstLine="0"/>
        <w:jc w:val="center"/>
      </w:pPr>
      <w:r>
        <w:rPr>
          <w:rStyle w:val="CharStyle6"/>
          <w:u w:val="single"/>
          <w:lang w:val="en-US" w:eastAsia="en-US"/>
        </w:rPr>
        <w:t xml:space="preserve">e-mail: </w:t>
      </w:r>
      <w:r>
        <w:fldChar w:fldCharType="begin"/>
      </w:r>
      <w:r>
        <w:rPr/>
        <w:instrText> HYPERLINK "mailto:to36@fas.gov.ru" </w:instrText>
      </w:r>
      <w:r>
        <w:fldChar w:fldCharType="separate"/>
      </w:r>
      <w:r>
        <w:rPr>
          <w:rStyle w:val="CharStyle6"/>
          <w:u w:val="single"/>
          <w:lang w:val="en-US" w:eastAsia="en-US"/>
        </w:rPr>
        <w:t>to36@fas.gov.ru</w:t>
      </w:r>
      <w:r>
        <w:fldChar w:fldCharType="end"/>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0"/>
          <w:u w:val="none"/>
        </w:rPr>
        <w:t>2</w:t>
      </w:r>
      <w:r>
        <w:fldChar w:fldCharType="begin"/>
      </w:r>
      <w:r>
        <w:rPr/>
        <w:instrText> HYPERLINK "file://f207ca94-a13c-4ba0-b72d-f018c9eed8f1/" </w:instrText>
      </w:r>
      <w:r>
        <w:fldChar w:fldCharType="separate"/>
      </w:r>
      <w:r>
        <w:rPr>
          <w:rStyle w:val="CharStyle10"/>
          <w:u w:val="none"/>
        </w:rPr>
        <w:t>0.05.</w:t>
      </w:r>
      <w:r>
        <w:rPr>
          <w:rStyle w:val="CharStyle10"/>
        </w:rPr>
        <w:t>2026</w:t>
      </w:r>
      <w:r>
        <w:rPr>
          <w:rStyle w:val="CharStyle10"/>
          <w:u w:val="none"/>
        </w:rPr>
        <w:tab/>
      </w:r>
      <w:r>
        <w:fldChar w:fldCharType="end"/>
      </w:r>
      <w:r>
        <w:rPr>
          <w:rStyle w:val="CharStyle10"/>
          <w:u w:val="none"/>
        </w:rPr>
        <w:t xml:space="preserve">№ </w:t>
      </w:r>
      <w:r>
        <w:rPr>
          <w:rStyle w:val="CharStyle10"/>
        </w:rPr>
        <w:t>ЮР/2801/2</w:t>
      </w:r>
      <w:r>
        <w:rPr>
          <w:rStyle w:val="CharStyle10"/>
          <w:u w:val="none"/>
        </w:rPr>
        <w:t>6</w:t>
      </w:r>
      <w:bookmarkEnd w:id="0"/>
    </w:p>
    <w:p>
      <w:pPr>
        <w:pStyle w:val="Style5"/>
        <w:keepNext w:val="0"/>
        <w:keepLines w:val="0"/>
        <w:widowControl w:val="0"/>
        <w:shd w:val="clear" w:color="auto" w:fill="auto"/>
        <w:bidi w:val="0"/>
        <w:spacing w:before="0"/>
        <w:ind w:left="0" w:right="0" w:firstLine="0"/>
        <w:jc w:val="left"/>
      </w:pPr>
      <w:r>
        <w:rPr>
          <w:rStyle w:val="CharStyle6"/>
        </w:rPr>
        <w:t xml:space="preserve">На№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036/06/105-539/2026</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ООО "ДСФ СПЕЦДОРСЕРВИС"</w:t>
        <w:br/>
        <w:t>394029, ВОРОНЕЖСКАЯ ОБЛАСТЬ, Г.</w:t>
        <w:br/>
        <w:t>ВОРОНЕЖ, ПР-КТ ЛЕНИНСКИЙ,</w:t>
        <w:br/>
        <w:t>Д.15, ОФИС 237</w:t>
        <w:br/>
      </w:r>
      <w:r>
        <w:fldChar w:fldCharType="begin"/>
      </w:r>
      <w:r>
        <w:rPr/>
        <w:instrText> HYPERLINK "mailto:specdorservis@mail.ru" </w:instrText>
      </w:r>
      <w:r>
        <w:fldChar w:fldCharType="separate"/>
      </w:r>
      <w:r>
        <w:rPr>
          <w:rStyle w:val="CharStyle15"/>
          <w:lang w:val="en-US" w:eastAsia="en-US"/>
        </w:rPr>
        <w:t>specdorservis@mail.ru</w:t>
      </w:r>
      <w:r>
        <w:fldChar w:fldCharType="end"/>
      </w:r>
    </w:p>
    <w:p>
      <w:pPr>
        <w:pStyle w:val="Style14"/>
        <w:keepNext w:val="0"/>
        <w:keepLines w:val="0"/>
        <w:widowControl w:val="0"/>
        <w:shd w:val="clear" w:color="auto" w:fill="auto"/>
        <w:bidi w:val="0"/>
        <w:spacing w:before="0" w:after="0" w:line="240" w:lineRule="auto"/>
        <w:ind w:left="0" w:right="0" w:firstLine="0"/>
        <w:jc w:val="center"/>
      </w:pPr>
      <w:r>
        <w:rPr>
          <w:rStyle w:val="CharStyle15"/>
        </w:rPr>
        <w:t>Администрация Терновского</w:t>
        <w:br/>
        <w:t>муниципального района Воронежской</w:t>
        <w:br/>
        <w:t>области</w:t>
      </w:r>
    </w:p>
    <w:p>
      <w:pPr>
        <w:pStyle w:val="Style14"/>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279" w:right="613" w:bottom="1217" w:left="1111" w:header="0" w:footer="3" w:gutter="0"/>
          <w:cols w:num="2" w:space="720" w:equalWidth="0">
            <w:col w:w="4296" w:space="1013"/>
            <w:col w:w="4867"/>
          </w:cols>
          <w:noEndnote/>
          <w:rtlGutter w:val="0"/>
          <w:docGrid w:linePitch="360"/>
        </w:sectPr>
      </w:pPr>
      <w:r>
        <w:rPr>
          <w:rStyle w:val="CharStyle15"/>
        </w:rPr>
        <w:t>397110, Воронежская обл, Терновский</w:t>
        <w:br/>
        <w:t>р-н, Терновка с, УЛ. СОВЕТСКАЯ, Д.39</w:t>
        <w:br/>
      </w:r>
      <w:r>
        <w:fldChar w:fldCharType="begin"/>
      </w:r>
      <w:r>
        <w:rPr/>
        <w:instrText> HYPERLINK "mailto:otdfin.zakaz.tern@govvrn.ru" </w:instrText>
      </w:r>
      <w:r>
        <w:fldChar w:fldCharType="separate"/>
      </w:r>
      <w:r>
        <w:rPr>
          <w:rStyle w:val="CharStyle15"/>
          <w:lang w:val="en-US" w:eastAsia="en-US"/>
        </w:rPr>
        <w:t>otdfin.zakaz.tern@govvrn.ru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4" w:after="8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320" w:line="276" w:lineRule="auto"/>
        <w:ind w:left="0" w:right="0" w:firstLine="0"/>
        <w:jc w:val="center"/>
      </w:pPr>
      <w:r>
        <w:rPr>
          <w:rStyle w:val="CharStyle15"/>
        </w:rPr>
        <w:t>Р Е Ш Е Н И Е</w:t>
        <w:br/>
        <w:t>по результатам рассмотрения жалобы общества с ограниченной ответственностью</w:t>
        <w:br/>
        <w:t>«ДСФ СПЕЦДОРСЕРВИС» на действия администрации Терновского</w:t>
        <w:br/>
        <w:t>муниципального района Воронежской области при проведении закупки на</w:t>
        <w:br/>
        <w:t>выполнение работ по капитальному ремонту автомобильных дорог общего</w:t>
        <w:br/>
        <w:t>пользования местного значения Терновского муниципального района Воронежской</w:t>
        <w:br/>
        <w:t>области (номер извещения 0131300026426000025)</w:t>
        <w:br/>
        <w:t>(дело № 036/06/105-539/2026)</w:t>
      </w:r>
    </w:p>
    <w:p>
      <w:pPr>
        <w:pStyle w:val="Style14"/>
        <w:keepNext w:val="0"/>
        <w:keepLines w:val="0"/>
        <w:widowControl w:val="0"/>
        <w:shd w:val="clear" w:color="auto" w:fill="auto"/>
        <w:tabs>
          <w:tab w:pos="8890" w:val="left"/>
        </w:tabs>
        <w:bidi w:val="0"/>
        <w:spacing w:before="0" w:after="320" w:line="259" w:lineRule="auto"/>
        <w:ind w:left="0" w:right="0" w:firstLine="0"/>
        <w:jc w:val="both"/>
      </w:pPr>
      <w:r>
        <w:rPr>
          <w:rStyle w:val="CharStyle15"/>
        </w:rPr>
        <w:t>15.05.2026</w:t>
        <w:tab/>
        <w:t>г. Воронеж</w:t>
      </w:r>
    </w:p>
    <w:p>
      <w:pPr>
        <w:pStyle w:val="Style14"/>
        <w:keepNext w:val="0"/>
        <w:keepLines w:val="0"/>
        <w:widowControl w:val="0"/>
        <w:shd w:val="clear" w:color="auto" w:fill="auto"/>
        <w:bidi w:val="0"/>
        <w:spacing w:before="0" w:after="0" w:line="259" w:lineRule="auto"/>
        <w:ind w:left="0" w:right="0" w:firstLine="0"/>
        <w:jc w:val="center"/>
      </w:pPr>
      <w:r>
        <w:rPr>
          <w:rStyle w:val="CharStyle15"/>
        </w:rPr>
        <w:t>Резолютивная часть объявлена: 15.05.2026 года.</w:t>
      </w:r>
    </w:p>
    <w:p>
      <w:pPr>
        <w:pStyle w:val="Style14"/>
        <w:keepNext w:val="0"/>
        <w:keepLines w:val="0"/>
        <w:widowControl w:val="0"/>
        <w:shd w:val="clear" w:color="auto" w:fill="auto"/>
        <w:bidi w:val="0"/>
        <w:spacing w:before="0" w:after="320" w:line="259" w:lineRule="auto"/>
        <w:ind w:left="0" w:right="0" w:firstLine="0"/>
        <w:jc w:val="center"/>
      </w:pPr>
      <w:r>
        <w:rPr>
          <w:rStyle w:val="CharStyle15"/>
        </w:rPr>
        <w:t>В полном объеме решение изготовлено 20.05.2026 года.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Управления Федеральной антимонопольной службы по Воронежской области по контролю в сфере закупок (далее - Комиссия) в составе:</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20"/>
        <w:jc w:val="both"/>
      </w:pPr>
      <w:r>
        <w:rPr>
          <w:rStyle w:val="CharStyle15"/>
        </w:rPr>
        <w:t>Рощупкина Ю.В. – ведущий заседания, заместитель председателя Комиссии начальник отдела контроля закупок Воронежского УФАС России;</w:t>
      </w:r>
    </w:p>
    <w:p>
      <w:pPr>
        <w:pStyle w:val="Style14"/>
        <w:keepNext w:val="0"/>
        <w:keepLines w:val="0"/>
        <w:widowControl w:val="0"/>
        <w:numPr>
          <w:ilvl w:val="0"/>
          <w:numId w:val="1"/>
        </w:numPr>
        <w:shd w:val="clear" w:color="auto" w:fill="auto"/>
        <w:tabs>
          <w:tab w:pos="1045" w:val="left"/>
        </w:tabs>
        <w:bidi w:val="0"/>
        <w:spacing w:before="0" w:after="0" w:line="240" w:lineRule="auto"/>
        <w:ind w:left="0" w:right="0" w:firstLine="720"/>
        <w:jc w:val="both"/>
      </w:pPr>
      <w:r>
        <w:rPr>
          <w:rStyle w:val="CharStyle15"/>
        </w:rPr>
        <w:t>Башкирова А.Р. – 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20"/>
        <w:jc w:val="both"/>
      </w:pPr>
      <w:r>
        <w:rPr>
          <w:rStyle w:val="CharStyle15"/>
        </w:rPr>
        <w:t>Горелова Ю.М. – член Комиссии, государственный инспектор отдела контроля закупок;</w:t>
      </w:r>
    </w:p>
    <w:p>
      <w:pPr>
        <w:pStyle w:val="Style14"/>
        <w:keepNext w:val="0"/>
        <w:keepLines w:val="0"/>
        <w:widowControl w:val="0"/>
        <w:shd w:val="clear" w:color="auto" w:fill="auto"/>
        <w:bidi w:val="0"/>
        <w:spacing w:before="0" w:after="460" w:line="240" w:lineRule="auto"/>
        <w:ind w:left="0" w:right="0" w:firstLine="640"/>
        <w:jc w:val="both"/>
      </w:pPr>
      <w:r>
        <w:rPr>
          <w:rStyle w:val="CharStyle15"/>
        </w:rPr>
        <w:t>при участии представителей администрации Терновского муниципального</w:t>
      </w:r>
    </w:p>
    <w:p>
      <w:pPr>
        <w:pStyle w:val="Style24"/>
        <w:keepNext/>
        <w:keepLines/>
        <w:widowControl w:val="0"/>
        <w:shd w:val="clear" w:color="auto" w:fill="auto"/>
        <w:bidi w:val="0"/>
        <w:spacing w:before="0" w:line="240" w:lineRule="auto"/>
        <w:ind w:left="0" w:right="0" w:firstLine="0"/>
        <w:jc w:val="left"/>
      </w:pPr>
      <w:bookmarkStart w:id="2" w:name="bookmark2"/>
      <w:r>
        <w:rPr>
          <w:rStyle w:val="CharStyle25"/>
        </w:rPr>
        <w:t>1IIIIIIIIIIIIIIIIIIIIIII</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района Воронежской области:</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Носовой Т.С.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общества с ограниченной ответственностью «ДСФ СПЕЦДОРСЕРВИС»:</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Солодимовой П.И.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заинтересованного лица:</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Зеленский Д.О. (доверенность от </w:t>
      </w:r>
      <w:r>
        <w:rPr>
          <w:rStyle w:val="CharStyle15"/>
          <w:lang w:val="en-US" w:eastAsia="en-US"/>
        </w:rPr>
        <w:t>30.04.2026),</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рассмотрев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0131300026426000025),</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общества с ограниченной ответственностью «ДСФ СПЕЦДОРСЕРВИС» (далее </w:t>
      </w:r>
      <w:r>
        <w:rPr>
          <w:rStyle w:val="CharStyle15"/>
          <w:lang w:val="en-US" w:eastAsia="en-US"/>
        </w:rPr>
        <w:t xml:space="preserve">- </w:t>
      </w:r>
      <w:r>
        <w:rPr>
          <w:rStyle w:val="CharStyle15"/>
        </w:rPr>
        <w:t xml:space="preserve">Заявитель) на действия администрации Терновского муниципального района Воронежской области (далее </w:t>
      </w:r>
      <w:r>
        <w:rPr>
          <w:rStyle w:val="CharStyle15"/>
          <w:lang w:val="en-US" w:eastAsia="en-US"/>
        </w:rPr>
        <w:t xml:space="preserve">— </w:t>
      </w:r>
      <w:r>
        <w:rPr>
          <w:rStyle w:val="CharStyle15"/>
        </w:rPr>
        <w:t xml:space="preserve">Заказчик, комиссия по осуществлению закупок)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действия заказчика не соответствуют требованиям положений Федерального закона от </w:t>
      </w:r>
      <w:r>
        <w:rPr>
          <w:rStyle w:val="CharStyle15"/>
          <w:lang w:val="en-US" w:eastAsia="en-US"/>
        </w:rPr>
        <w:t xml:space="preserve">05.04.2013 N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5"/>
          <w:lang w:val="en-US" w:eastAsia="en-US"/>
        </w:rPr>
        <w:t xml:space="preserve">- </w:t>
      </w:r>
      <w:r>
        <w:rPr>
          <w:rStyle w:val="CharStyle15"/>
        </w:rPr>
        <w:t>Закон о контрактной системе), что выразилось в следующем:</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Из Протокола не представляется возможным установить основания принятия одних документов, в качестве подтверждающих опыт, и основания отклонения других договоров. Кроме того, нельзя установить, какие именно документы приняты, а какие отклонены.</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Протокол, не содержащий всей необходимой информации, не позволяющий выявить основания для принятия решений субъектами контроля, оформлен ненадлежащим образом, не опубликование указанной информации непосредственно затрагивает права и законные интересы участников закупки.</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 xml:space="preserve">Заявителем в составе заявки был представлен </w:t>
      </w:r>
      <w:r>
        <w:rPr>
          <w:rStyle w:val="CharStyle15"/>
          <w:lang w:val="en-US" w:eastAsia="en-US"/>
        </w:rPr>
        <w:t xml:space="preserve">191 </w:t>
      </w:r>
      <w:r>
        <w:rPr>
          <w:rStyle w:val="CharStyle15"/>
        </w:rPr>
        <w:t xml:space="preserve">контракт (договор) на общую сумму </w:t>
      </w:r>
      <w:r>
        <w:rPr>
          <w:rStyle w:val="CharStyle15"/>
          <w:lang w:val="en-US" w:eastAsia="en-US"/>
        </w:rPr>
        <w:t xml:space="preserve">1 692 350 767,35 </w:t>
      </w:r>
      <w:r>
        <w:rPr>
          <w:rStyle w:val="CharStyle15"/>
        </w:rPr>
        <w:t xml:space="preserve">руб, однако, из протокола рассмотрения и оценки вторых частей от </w:t>
      </w:r>
      <w:r>
        <w:rPr>
          <w:rStyle w:val="CharStyle15"/>
          <w:lang w:val="en-US" w:eastAsia="en-US"/>
        </w:rPr>
        <w:t xml:space="preserve">06.05.2026 № ПРОII1 </w:t>
      </w:r>
      <w:r>
        <w:rPr>
          <w:rStyle w:val="CharStyle15"/>
        </w:rPr>
        <w:t xml:space="preserve">(далее </w:t>
      </w:r>
      <w:r>
        <w:rPr>
          <w:rStyle w:val="CharStyle15"/>
          <w:lang w:val="en-US" w:eastAsia="en-US"/>
        </w:rPr>
        <w:t xml:space="preserve">- </w:t>
      </w:r>
      <w:r>
        <w:rPr>
          <w:rStyle w:val="CharStyle15"/>
        </w:rPr>
        <w:t xml:space="preserve">Протокол) следует, что комиссия приняла к рассмотрению только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руб.</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Изучив материалы дела, предоставленные доказательства, а также осуществив внеплановую проверку в соответствии со статьей </w:t>
      </w:r>
      <w:r>
        <w:rPr>
          <w:rStyle w:val="CharStyle15"/>
          <w:lang w:val="en-US" w:eastAsia="en-US"/>
        </w:rPr>
        <w:t xml:space="preserve">99 </w:t>
      </w:r>
      <w:r>
        <w:rPr>
          <w:rStyle w:val="CharStyle15"/>
        </w:rPr>
        <w:t>Закона о контрактной системе Комиссия Воронежского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15.04.2026 </w:t>
      </w:r>
      <w:r>
        <w:rPr>
          <w:rStyle w:val="CharStyle15"/>
        </w:rPr>
        <w:t xml:space="preserve">года в Единой информационной системе размещено Извещение о проведении электронного аукциона </w:t>
      </w:r>
      <w:r>
        <w:rPr>
          <w:rStyle w:val="CharStyle15"/>
          <w:lang w:val="en-US" w:eastAsia="en-US"/>
        </w:rPr>
        <w:t xml:space="preserve">№ 0131300026426000025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7 989 132,13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Определение поставщика (подрядчика, исполнителя) осуществляется путём проведения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Закупка вне рамок национального проекта, код бюджетной классификации 9140409241029Д130243.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доводы жалобы, Комиссия Воронежского УФАС России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7 </w:t>
      </w:r>
      <w:r>
        <w:rPr>
          <w:rStyle w:val="CharStyle15"/>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5"/>
          <w:lang w:val="en-US" w:eastAsia="en-US"/>
        </w:rPr>
        <w:t xml:space="preserve">1 </w:t>
      </w:r>
      <w:r>
        <w:rPr>
          <w:rStyle w:val="CharStyle15"/>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13 </w:t>
      </w:r>
      <w:r>
        <w:rPr>
          <w:rStyle w:val="CharStyle15"/>
        </w:rPr>
        <w:t xml:space="preserve">статьи </w:t>
      </w:r>
      <w:r>
        <w:rPr>
          <w:rStyle w:val="CharStyle15"/>
          <w:lang w:val="en-US" w:eastAsia="en-US"/>
        </w:rPr>
        <w:t xml:space="preserve">48 </w:t>
      </w:r>
      <w:r>
        <w:rPr>
          <w:rStyle w:val="CharStyle15"/>
        </w:rPr>
        <w:t>Закона о контрактной системе протокол рассмотрения и оценки вторых частей заявок на участие в закупке должен содержать:</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дату рассмотрения и оценки вторых частей заявок на участие в закупке идентификационные номера таких заявок;</w:t>
      </w:r>
    </w:p>
    <w:p>
      <w:pPr>
        <w:pStyle w:val="Style14"/>
        <w:keepNext w:val="0"/>
        <w:keepLines w:val="0"/>
        <w:widowControl w:val="0"/>
        <w:numPr>
          <w:ilvl w:val="0"/>
          <w:numId w:val="5"/>
        </w:numPr>
        <w:shd w:val="clear" w:color="auto" w:fill="auto"/>
        <w:tabs>
          <w:tab w:pos="1113" w:val="left"/>
        </w:tabs>
        <w:bidi w:val="0"/>
        <w:spacing w:before="0" w:after="0" w:line="240" w:lineRule="auto"/>
        <w:ind w:left="0" w:right="0" w:firstLine="720"/>
        <w:jc w:val="both"/>
      </w:pPr>
      <w:r>
        <w:rPr>
          <w:rStyle w:val="CharStyle15"/>
        </w:rPr>
        <w:t>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 xml:space="preserve">присвоенные вторым частям заявок на участие в закупке, признанным соответствующими извещению об осуществлении закупки, значения по критерию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 xml:space="preserve">предусмотренному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(в случае установления такого критерия в извещении об осуществлении закупки);</w:t>
      </w:r>
    </w:p>
    <w:p>
      <w:pPr>
        <w:pStyle w:val="Style14"/>
        <w:keepNext w:val="0"/>
        <w:keepLines w:val="0"/>
        <w:widowControl w:val="0"/>
        <w:numPr>
          <w:ilvl w:val="0"/>
          <w:numId w:val="5"/>
        </w:numPr>
        <w:shd w:val="clear" w:color="auto" w:fill="auto"/>
        <w:tabs>
          <w:tab w:pos="1113" w:val="left"/>
        </w:tabs>
        <w:bidi w:val="0"/>
        <w:spacing w:before="0" w:after="0" w:line="240" w:lineRule="auto"/>
        <w:ind w:left="0" w:right="0" w:firstLine="720"/>
        <w:jc w:val="both"/>
      </w:pPr>
      <w:r>
        <w:rPr>
          <w:rStyle w:val="CharStyle15"/>
        </w:rPr>
        <w:t>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 xml:space="preserve">информацию о признании определения поставщика (подрядчика исполнителя) пунктами </w:t>
      </w:r>
      <w:r>
        <w:rPr>
          <w:rStyle w:val="CharStyle15"/>
          <w:lang w:val="en-US" w:eastAsia="en-US"/>
        </w:rPr>
        <w:t xml:space="preserve">2 4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 xml:space="preserve">несостоявшимся в случаях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настоящего Федерального</w:t>
      </w:r>
    </w:p>
    <w:p>
      <w:pPr>
        <w:pStyle w:val="Style14"/>
        <w:keepNext w:val="0"/>
        <w:keepLines w:val="0"/>
        <w:widowControl w:val="0"/>
        <w:shd w:val="clear" w:color="auto" w:fill="auto"/>
        <w:bidi w:val="0"/>
        <w:spacing w:before="0" w:after="0" w:line="240" w:lineRule="auto"/>
        <w:ind w:left="0" w:right="0" w:firstLine="0"/>
        <w:jc w:val="both"/>
      </w:pPr>
      <w:r>
        <w:rPr>
          <w:rStyle w:val="CharStyle15"/>
        </w:rPr>
        <w:t>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согласно Протоколу, Комиссией по осуществлению закупок указаны дата рассмотрения и оценки вторых частей заявок на участие в закупке идентификационные номера заявок, информацию о принятом решении о признании второй части заявки на участие в закупке соответствующей извещению об осуществлении закупки, значения по критериям,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Комиссией по осуществлению закупок не нарушены нормы законодательства о контрактной системе, доводы признаны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довод жалобы </w:t>
      </w:r>
      <w:r>
        <w:rPr>
          <w:rStyle w:val="CharStyle15"/>
          <w:lang w:val="en-US" w:eastAsia="en-US"/>
        </w:rPr>
        <w:t xml:space="preserve">3, </w:t>
      </w:r>
      <w:r>
        <w:rPr>
          <w:rStyle w:val="CharStyle15"/>
        </w:rPr>
        <w:t>Комиссия Воронежского УФАС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и документы, предусмотренные 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11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Извещении о проведении настоящего конкурса установлены следующие критерии: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Критерии оценки заявок</w:t>
      </w:r>
    </w:p>
    <w:p>
      <w:pPr>
        <w:pStyle w:val="Style14"/>
        <w:keepNext w:val="0"/>
        <w:keepLines w:val="0"/>
        <w:widowControl w:val="0"/>
        <w:numPr>
          <w:ilvl w:val="0"/>
          <w:numId w:val="7"/>
        </w:numPr>
        <w:shd w:val="clear" w:color="auto" w:fill="auto"/>
        <w:tabs>
          <w:tab w:pos="1096" w:val="left"/>
        </w:tabs>
        <w:bidi w:val="0"/>
        <w:spacing w:before="0" w:after="0" w:line="240" w:lineRule="auto"/>
        <w:ind w:left="0" w:right="0" w:firstLine="720"/>
        <w:jc w:val="both"/>
      </w:pPr>
      <w:r>
        <w:rPr>
          <w:rStyle w:val="CharStyle15"/>
        </w:rPr>
        <w:t xml:space="preserve">Цена контракта. Значимость критерия оценки: </w:t>
      </w:r>
      <w:r>
        <w:rPr>
          <w:rStyle w:val="CharStyle15"/>
          <w:lang w:val="en-US" w:eastAsia="en-US"/>
        </w:rPr>
        <w:t>60.00%.</w:t>
      </w:r>
    </w:p>
    <w:p>
      <w:pPr>
        <w:pStyle w:val="Style14"/>
        <w:keepNext w:val="0"/>
        <w:keepLines w:val="0"/>
        <w:widowControl w:val="0"/>
        <w:numPr>
          <w:ilvl w:val="0"/>
          <w:numId w:val="7"/>
        </w:numPr>
        <w:shd w:val="clear" w:color="auto" w:fill="auto"/>
        <w:tabs>
          <w:tab w:pos="1091" w:val="left"/>
        </w:tabs>
        <w:bidi w:val="0"/>
        <w:spacing w:before="0" w:after="0" w:line="240" w:lineRule="auto"/>
        <w:ind w:left="0" w:right="0" w:firstLine="720"/>
        <w:jc w:val="both"/>
      </w:pPr>
      <w:r>
        <w:rPr>
          <w:rStyle w:val="CharStyle15"/>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w:t>
      </w:r>
      <w:r>
        <w:rPr>
          <w:rStyle w:val="CharStyle15"/>
          <w:lang w:val="en-US" w:eastAsia="en-US"/>
        </w:rPr>
        <w:t xml:space="preserve">cвязаного </w:t>
      </w:r>
      <w:r>
        <w:rPr>
          <w:rStyle w:val="CharStyle15"/>
        </w:rPr>
        <w:t xml:space="preserve">с предметом контракта, и деловой репутации, специалистов и иных работников определенного уровня квалификации. Значимость критерия оценки: </w:t>
      </w:r>
      <w:r>
        <w:rPr>
          <w:rStyle w:val="CharStyle15"/>
          <w:lang w:val="en-US" w:eastAsia="en-US"/>
        </w:rPr>
        <w:t>40.00%.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Порядком рассмотрения и оценки заявок на участие в конкурсе «К оценке принимается исключительно договор (договоры) предусматривающий выполнение работ на автомобильной дороге, который не относится к контрактам, указанным в абзацах втором </w:t>
      </w:r>
      <w:r>
        <w:rPr>
          <w:rStyle w:val="CharStyle15"/>
          <w:lang w:val="en-US" w:eastAsia="en-US"/>
        </w:rPr>
        <w:t xml:space="preserve">- </w:t>
      </w:r>
      <w:r>
        <w:rPr>
          <w:rStyle w:val="CharStyle15"/>
        </w:rPr>
        <w:t xml:space="preserve">четвертом подпункта «г» п. </w:t>
      </w:r>
      <w:r>
        <w:rPr>
          <w:rStyle w:val="CharStyle15"/>
          <w:lang w:val="en-US" w:eastAsia="en-US"/>
        </w:rPr>
        <w:t xml:space="preserve">31 </w:t>
      </w:r>
      <w:r>
        <w:rPr>
          <w:rStyle w:val="CharStyle15"/>
        </w:rPr>
        <w:t xml:space="preserve">Положения, и предусматривает выполнение работ по строительству реконструкции, капитальному ремонту, сносу вышеуказанного объекта капитального строительства, заключенный и исполненный в соответствии с Федеральным законом от </w:t>
      </w:r>
      <w:r>
        <w:rPr>
          <w:rStyle w:val="CharStyle15"/>
          <w:lang w:val="en-US" w:eastAsia="en-US"/>
        </w:rPr>
        <w:t xml:space="preserve">05.04.2013 № </w:t>
      </w:r>
      <w:r>
        <w:rPr>
          <w:rStyle w:val="CharStyle15"/>
        </w:rPr>
        <w:t>44-ФЗ «О контрактной системе в сфере закупок товаров, работ</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услуг для обеспечения государственных и муниципальных нужд» или Федеральным законом от </w:t>
      </w:r>
      <w:r>
        <w:rPr>
          <w:rStyle w:val="CharStyle15"/>
          <w:lang w:val="en-US" w:eastAsia="en-US"/>
        </w:rPr>
        <w:t xml:space="preserve">18.07.2011 № </w:t>
      </w:r>
      <w:r>
        <w:rPr>
          <w:rStyle w:val="CharStyle15"/>
        </w:rPr>
        <w:t>223-ФЗ «О закупках товаров, работ, услуг отдельными видами юридических лиц». Перечень документов, подтверждающих наличие у участников закупки опыта выполнения работы, связанного с предметом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 </w:t>
      </w:r>
      <w:r>
        <w:rPr>
          <w:rStyle w:val="CharStyle15"/>
        </w:rPr>
        <w:t>исполненный договор (договоры),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-акт (акты) приемки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Документы принимаются к оценке в том числе если к ним не приложена проектная документация (если проектная документация является приложением к таким документам).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Последний акт, составленный при исполнении договора (договоров)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07.05.2026 </w:t>
      </w:r>
      <w:r>
        <w:rPr>
          <w:rStyle w:val="CharStyle15"/>
        </w:rPr>
        <w:t xml:space="preserve">№ИЭОК1 заявке Заявителя было присвоено </w:t>
      </w:r>
      <w:r>
        <w:rPr>
          <w:rStyle w:val="CharStyle15"/>
          <w:lang w:val="en-US" w:eastAsia="en-US"/>
        </w:rPr>
        <w:t xml:space="preserve">85.12 </w:t>
      </w:r>
      <w:r>
        <w:rPr>
          <w:rStyle w:val="CharStyle15"/>
        </w:rPr>
        <w:t>баллов.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ходе заседания Заказчик пояснил, что комиссия по осуществлению закупок по заявке Заявителя приняла к рассмотрению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 xml:space="preserve">руб. из </w:t>
      </w:r>
      <w:r>
        <w:rPr>
          <w:rStyle w:val="CharStyle15"/>
          <w:lang w:val="en-US" w:eastAsia="en-US"/>
        </w:rPr>
        <w:t xml:space="preserve">1 692 350 767,35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число принятых контрактов (договоров) </w:t>
      </w:r>
      <w:r>
        <w:rPr>
          <w:rStyle w:val="CharStyle15"/>
          <w:lang w:val="en-US" w:eastAsia="en-US"/>
        </w:rPr>
        <w:t xml:space="preserve">— 133, </w:t>
      </w:r>
      <w:r>
        <w:rPr>
          <w:rStyle w:val="CharStyle15"/>
        </w:rPr>
        <w:t>является ошибочным, в связи с тем, что ошибочно были учтены два раза контракты Заявителя, заключенные с ним как единственным поставщиком по закону о контактной системе, однако допущенная техническая ошибка, как указал представитель Указчика, не повлияла на результаты торгов.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при подсчете баллов, комиссией по осуществлению закупок не были приняты договоры, которые носили гражданско-правовой характер, что отвечает требованиям установленным Порядком рассмотрения и оценки заявок на участие в конкурсе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основании изложенного,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Руководствуясь 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Закона </w:t>
      </w:r>
      <w:r>
        <w:rPr>
          <w:rStyle w:val="CharStyle15"/>
          <w:lang w:val="en-US" w:eastAsia="en-US"/>
        </w:rPr>
        <w:t xml:space="preserve">№ </w:t>
      </w:r>
      <w:r>
        <w:rPr>
          <w:rStyle w:val="CharStyle15"/>
        </w:rPr>
        <w:t>44-ФЗ, Комиссия Воронежского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280" w:line="240" w:lineRule="auto"/>
        <w:ind w:left="0" w:right="0" w:firstLine="720"/>
        <w:jc w:val="both"/>
      </w:pPr>
      <w:r>
        <w:rPr>
          <w:rStyle w:val="CharStyle15"/>
          <w:sz w:val="26"/>
          <w:szCs w:val="26"/>
        </w:rPr>
        <w:t xml:space="preserve">Признать жалобу </w:t>
      </w:r>
      <w:r>
        <w:rPr>
          <w:rStyle w:val="CharStyle15"/>
        </w:rPr>
        <w:t>общества с ограниченной ответственностью «ДСФ СПЕЦДОРСЕРВИС» на действия администрации Терновского муниципального</w:t>
      </w:r>
      <w:r>
        <w:br w:type="page"/>
      </w:r>
    </w:p>
    <w:p>
      <w:pPr>
        <w:pStyle w:val="Style14"/>
        <w:keepNext w:val="0"/>
        <w:keepLines w:val="0"/>
        <w:widowControl w:val="0"/>
        <w:shd w:val="clear" w:color="auto" w:fill="auto"/>
        <w:bidi w:val="0"/>
        <w:spacing w:before="0" w:after="260" w:line="240" w:lineRule="auto"/>
        <w:ind w:left="0" w:right="0" w:firstLine="0"/>
        <w:jc w:val="both"/>
        <w:rPr>
          <w:sz w:val="26"/>
          <w:szCs w:val="26"/>
        </w:rPr>
      </w:pPr>
      <w:r>
        <w:rPr>
          <w:rStyle w:val="CharStyle15"/>
        </w:rPr>
        <w:t xml:space="preserve">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 xml:space="preserve">0131300026426000025) </w:t>
      </w:r>
      <w:r>
        <w:rPr>
          <w:rStyle w:val="CharStyle15"/>
          <w:sz w:val="26"/>
          <w:szCs w:val="26"/>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Настоящее решение может быть обжаловано заинтересованными лицами в судебном порядке в установленный законом срок.</w:t>
      </w:r>
    </w:p>
    <w:p>
      <w:pPr>
        <w:widowControl w:val="0"/>
        <w:spacing w:line="1" w:lineRule="exact"/>
        <w:sectPr>
          <w:footnotePr>
            <w:pos w:val="pageBottom"/>
            <w:numFmt w:val="decimal"/>
            <w:numRestart w:val="continuous"/>
          </w:footnotePr>
          <w:type w:val="continuous"/>
          <w:pgSz w:w="11900" w:h="16840"/>
          <w:pgMar w:top="1105" w:right="543" w:bottom="1217" w:left="1099" w:header="0" w:footer="3" w:gutter="0"/>
          <w:cols w:space="720"/>
          <w:noEndnote/>
          <w:rtlGutter w:val="0"/>
          <w:docGrid w:linePitch="360"/>
        </w:sectPr>
      </w:pPr>
      <w:r>
        <mc:AlternateContent>
          <mc:Choice Requires="wps">
            <w:drawing>
              <wp:anchor distT="622300" distB="1023620" distL="0" distR="0" simplePos="0" relativeHeight="125829378" behindDoc="0" locked="0" layoutInCell="1" allowOverlap="1">
                <wp:simplePos x="0" y="0"/>
                <wp:positionH relativeFrom="page">
                  <wp:posOffset>739140</wp:posOffset>
                </wp:positionH>
                <wp:positionV relativeFrom="paragraph">
                  <wp:posOffset>622300</wp:posOffset>
                </wp:positionV>
                <wp:extent cx="1822450" cy="661670"/>
                <wp:wrapTopAndBottom/>
                <wp:docPr id="7" name="Shape 7"/>
                <a:graphic xmlns:a="http://schemas.openxmlformats.org/drawingml/2006/main">
                  <a:graphicData uri="http://schemas.microsoft.com/office/word/2010/wordprocessingShape">
                    <wps:wsp>
                      <wps:cNvSpPr txBox="1"/>
                      <wps:spPr>
                        <a:xfrm>
                          <a:ext cx="1822450" cy="6616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Ведущий заседание, заместитель председателя Комиссии</w:t>
                            </w:r>
                          </w:p>
                        </w:txbxContent>
                      </wps:txbx>
                      <wps:bodyPr lIns="0" tIns="0" rIns="0" bIns="0">
                        <a:noAutoFit/>
                      </wps:bodyPr>
                    </wps:wsp>
                  </a:graphicData>
                </a:graphic>
              </wp:anchor>
            </w:drawing>
          </mc:Choice>
          <mc:Fallback>
            <w:pict>
              <v:shape id="_x0000_s1033" type="#_x0000_t202" style="position:absolute;margin-left:58.200000000000003pt;margin-top:49.pt;width:143.5pt;height:52.100000000000001pt;z-index:-125829375;mso-wrap-distance-left:0;mso-wrap-distance-top:49.pt;mso-wrap-distance-right:0;mso-wrap-distance-bottom:80.60000000000000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Ведущий заседание, заместитель председателя Комиссии</w:t>
                      </w:r>
                    </w:p>
                  </w:txbxContent>
                </v:textbox>
                <w10:wrap type="topAndBottom" anchorx="page"/>
              </v:shape>
            </w:pict>
          </mc:Fallback>
        </mc:AlternateContent>
      </w:r>
      <w:r>
        <mc:AlternateContent>
          <mc:Choice Requires="wps">
            <w:drawing>
              <wp:anchor distT="1713230" distB="341630" distL="0" distR="0" simplePos="0" relativeHeight="125829380" behindDoc="0" locked="0" layoutInCell="1" allowOverlap="1">
                <wp:simplePos x="0" y="0"/>
                <wp:positionH relativeFrom="page">
                  <wp:posOffset>735965</wp:posOffset>
                </wp:positionH>
                <wp:positionV relativeFrom="paragraph">
                  <wp:posOffset>1713230</wp:posOffset>
                </wp:positionV>
                <wp:extent cx="1344295" cy="252730"/>
                <wp:wrapTopAndBottom/>
                <wp:docPr id="9" name="Shape 9"/>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35" type="#_x0000_t202" style="position:absolute;margin-left:57.950000000000003pt;margin-top:134.90000000000001pt;width:105.85000000000001pt;height:19.900000000000002pt;z-index:-125829373;mso-wrap-distance-left:0;mso-wrap-distance-top:134.90000000000001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686435" distB="1090930" distL="0" distR="1786255" simplePos="0" relativeHeight="125829382" behindDoc="0" locked="0" layoutInCell="1" allowOverlap="1">
            <wp:simplePos x="0" y="0"/>
            <wp:positionH relativeFrom="page">
              <wp:posOffset>2647315</wp:posOffset>
            </wp:positionH>
            <wp:positionV relativeFrom="paragraph">
              <wp:posOffset>686435</wp:posOffset>
            </wp:positionV>
            <wp:extent cx="365760" cy="53022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6576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1101090</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40000000000001pt;margin-top:86.70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3077210</wp:posOffset>
                </wp:positionH>
                <wp:positionV relativeFrom="paragraph">
                  <wp:posOffset>784225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30000000000001pt;margin-top:61.7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56030" distB="753110" distL="0" distR="0" simplePos="0" relativeHeight="125829383" behindDoc="0" locked="0" layoutInCell="1" allowOverlap="1">
                <wp:simplePos x="0" y="0"/>
                <wp:positionH relativeFrom="page">
                  <wp:posOffset>2668270</wp:posOffset>
                </wp:positionH>
                <wp:positionV relativeFrom="paragraph">
                  <wp:posOffset>1256030</wp:posOffset>
                </wp:positionV>
                <wp:extent cx="2191385" cy="298450"/>
                <wp:wrapTopAndBottom/>
                <wp:docPr id="17" name="Shape 17"/>
                <a:graphic xmlns:a="http://schemas.openxmlformats.org/drawingml/2006/main">
                  <a:graphicData uri="http://schemas.microsoft.com/office/word/2010/wordprocessingShape">
                    <wps:wsp>
                      <wps:cNvSpPr txBox="1"/>
                      <wps:spPr>
                        <a:xfrm>
                          <a:ext cx="2191385" cy="29845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1"/>
                                <w:szCs w:val="11"/>
                              </w:rPr>
                            </w:pPr>
                            <w:r>
                              <w:rPr>
                                <w:rStyle w:val="CharStyle20"/>
                              </w:rPr>
                              <w:t xml:space="preserve">Кому выдан: </w:t>
                            </w:r>
                            <w:r>
                              <w:rPr>
                                <w:rStyle w:val="CharStyle20"/>
                                <w:color w:val="000000"/>
                                <w:sz w:val="11"/>
                                <w:szCs w:val="11"/>
                              </w:rPr>
                              <w:t>Рощупкина Юлия Вениаминовна</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Сертификат </w:t>
                            </w:r>
                            <w:r>
                              <w:rPr>
                                <w:rStyle w:val="CharStyle20"/>
                                <w:color w:val="292929"/>
                              </w:rPr>
                              <w:t xml:space="preserve">№ </w:t>
                            </w:r>
                            <w:r>
                              <w:rPr>
                                <w:rStyle w:val="CharStyle20"/>
                                <w:lang w:val="en-US" w:eastAsia="en-US"/>
                              </w:rPr>
                              <w:t>00AF4D3D160B60C8EFFA4933C71</w:t>
                            </w:r>
                            <w:r>
                              <w:rPr>
                                <w:rStyle w:val="CharStyle20"/>
                              </w:rPr>
                              <w:t>1509056</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Действителен с 17.04.2026 </w:t>
                            </w:r>
                            <w:r>
                              <w:rPr>
                                <w:rStyle w:val="CharStyle20"/>
                                <w:color w:val="5C5C5C"/>
                              </w:rPr>
                              <w:t>по 1</w:t>
                            </w:r>
                            <w:r>
                              <w:rPr>
                                <w:rStyle w:val="CharStyle20"/>
                              </w:rPr>
                              <w:t>1.07.2027</w:t>
                            </w:r>
                          </w:p>
                        </w:txbxContent>
                      </wps:txbx>
                      <wps:bodyPr lIns="0" tIns="0" rIns="0" bIns="0">
                        <a:noAutoFit/>
                      </wps:bodyPr>
                    </wps:wsp>
                  </a:graphicData>
                </a:graphic>
              </wp:anchor>
            </w:drawing>
          </mc:Choice>
          <mc:Fallback>
            <w:pict>
              <v:shape id="_x0000_s1043" type="#_x0000_t202" style="position:absolute;margin-left:210.09999999999999pt;margin-top:98.900000000000006pt;width:172.55000000000001pt;height:23.5pt;z-index:-125829370;mso-wrap-distance-left:0;mso-wrap-distance-top:98.900000000000006pt;mso-wrap-distance-right:0;mso-wrap-distance-bottom:59.300000000000004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11"/>
                          <w:szCs w:val="11"/>
                        </w:rPr>
                      </w:pPr>
                      <w:r>
                        <w:rPr>
                          <w:rStyle w:val="CharStyle20"/>
                        </w:rPr>
                        <w:t xml:space="preserve">Кому выдан: </w:t>
                      </w:r>
                      <w:r>
                        <w:rPr>
                          <w:rStyle w:val="CharStyle20"/>
                          <w:color w:val="000000"/>
                          <w:sz w:val="11"/>
                          <w:szCs w:val="11"/>
                        </w:rPr>
                        <w:t>Рощупкина Юлия Вениаминовна</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Сертификат </w:t>
                      </w:r>
                      <w:r>
                        <w:rPr>
                          <w:rStyle w:val="CharStyle20"/>
                          <w:color w:val="292929"/>
                        </w:rPr>
                        <w:t xml:space="preserve">№ </w:t>
                      </w:r>
                      <w:r>
                        <w:rPr>
                          <w:rStyle w:val="CharStyle20"/>
                          <w:lang w:val="en-US" w:eastAsia="en-US"/>
                        </w:rPr>
                        <w:t>00AF4D3D160B60C8EFFA4933C71</w:t>
                      </w:r>
                      <w:r>
                        <w:rPr>
                          <w:rStyle w:val="CharStyle20"/>
                        </w:rPr>
                        <w:t>1509056</w:t>
                      </w:r>
                    </w:p>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Действителен с 17.04.2026 </w:t>
                      </w:r>
                      <w:r>
                        <w:rPr>
                          <w:rStyle w:val="CharStyle20"/>
                          <w:color w:val="5C5C5C"/>
                        </w:rPr>
                        <w:t>по 1</w:t>
                      </w:r>
                      <w:r>
                        <w:rPr>
                          <w:rStyle w:val="CharStyle20"/>
                        </w:rPr>
                        <w:t>1.07.2027</w:t>
                      </w:r>
                    </w:p>
                  </w:txbxContent>
                </v:textbox>
                <w10:wrap type="topAndBottom" anchorx="page"/>
              </v:shape>
            </w:pict>
          </mc:Fallback>
        </mc:AlternateContent>
      </w:r>
      <w:r>
        <w:drawing>
          <wp:anchor distT="1789430" distB="0" distL="0" distR="1786255" simplePos="0" relativeHeight="125829385" behindDoc="0" locked="0" layoutInCell="1" allowOverlap="1">
            <wp:simplePos x="0" y="0"/>
            <wp:positionH relativeFrom="page">
              <wp:posOffset>2656205</wp:posOffset>
            </wp:positionH>
            <wp:positionV relativeFrom="paragraph">
              <wp:posOffset>1789430</wp:posOffset>
            </wp:positionV>
            <wp:extent cx="359410" cy="5181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2192020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0000000000001pt;margin-top:172.5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1874520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5pt;margin-top:147.59999999999999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22300" distB="1435100" distL="0" distR="0" simplePos="0" relativeHeight="125829386" behindDoc="0" locked="0" layoutInCell="1" allowOverlap="1">
                <wp:simplePos x="0" y="0"/>
                <wp:positionH relativeFrom="page">
                  <wp:posOffset>5862955</wp:posOffset>
                </wp:positionH>
                <wp:positionV relativeFrom="paragraph">
                  <wp:posOffset>622300</wp:posOffset>
                </wp:positionV>
                <wp:extent cx="1325880" cy="250190"/>
                <wp:wrapTopAndBottom/>
                <wp:docPr id="25" name="Shape 25"/>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wps:txbx>
                      <wps:bodyPr wrap="none" lIns="0" tIns="0" rIns="0" bIns="0">
                        <a:noAutoFit/>
                      </wps:bodyPr>
                    </wps:wsp>
                  </a:graphicData>
                </a:graphic>
              </wp:anchor>
            </w:drawing>
          </mc:Choice>
          <mc:Fallback>
            <w:pict>
              <v:shape id="_x0000_s1051" type="#_x0000_t202" style="position:absolute;margin-left:461.65000000000003pt;margin-top:49.pt;width:104.40000000000001pt;height:19.699999999999999pt;z-index:-125829367;mso-wrap-distance-left:0;mso-wrap-distance-top:49.pt;mso-wrap-distance-right:0;mso-wrap-distance-bottom:113.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v:textbox>
                <w10:wrap type="topAndBottom" anchorx="page"/>
              </v:shape>
            </w:pict>
          </mc:Fallback>
        </mc:AlternateContent>
      </w:r>
      <w:r>
        <mc:AlternateContent>
          <mc:Choice Requires="wps">
            <w:drawing>
              <wp:anchor distT="1713230" distB="341630" distL="0" distR="0" simplePos="0" relativeHeight="125829388" behindDoc="0" locked="0" layoutInCell="1" allowOverlap="1">
                <wp:simplePos x="0" y="0"/>
                <wp:positionH relativeFrom="page">
                  <wp:posOffset>5978525</wp:posOffset>
                </wp:positionH>
                <wp:positionV relativeFrom="paragraph">
                  <wp:posOffset>1713230</wp:posOffset>
                </wp:positionV>
                <wp:extent cx="1212850" cy="252730"/>
                <wp:wrapTopAndBottom/>
                <wp:docPr id="27" name="Shape 27"/>
                <a:graphic xmlns:a="http://schemas.openxmlformats.org/drawingml/2006/main">
                  <a:graphicData uri="http://schemas.microsoft.com/office/word/2010/wordprocessingShape">
                    <wps:wsp>
                      <wps:cNvSpPr txBox="1"/>
                      <wps:spPr>
                        <a:xfrm>
                          <a:ext cx="121285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А.Р. Башкирова</w:t>
                            </w:r>
                          </w:p>
                        </w:txbxContent>
                      </wps:txbx>
                      <wps:bodyPr wrap="none" lIns="0" tIns="0" rIns="0" bIns="0">
                        <a:noAutoFit/>
                      </wps:bodyPr>
                    </wps:wsp>
                  </a:graphicData>
                </a:graphic>
              </wp:anchor>
            </w:drawing>
          </mc:Choice>
          <mc:Fallback>
            <w:pict>
              <v:shape id="_x0000_s1053" type="#_x0000_t202" style="position:absolute;margin-left:470.75pt;margin-top:134.90000000000001pt;width:95.5pt;height:19.900000000000002pt;z-index:-125829365;mso-wrap-distance-left:0;mso-wrap-distance-top:134.90000000000001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А.Р. Башкирова</w:t>
                      </w:r>
                    </w:p>
                  </w:txbxContent>
                </v:textbox>
                <w10:wrap type="topAndBottom" anchorx="page"/>
              </v:shape>
            </w:pict>
          </mc:Fallback>
        </mc:AlternateContent>
      </w:r>
    </w:p>
    <w:p>
      <w:pPr>
        <w:widowControl w:val="0"/>
        <w:spacing w:line="1" w:lineRule="exact"/>
      </w:pPr>
      <w:r>
        <w:drawing>
          <wp:anchor distT="0" distB="0" distL="114300" distR="1900555" simplePos="0" relativeHeight="125829390" behindDoc="0" locked="0" layoutInCell="1" allowOverlap="1">
            <wp:simplePos x="0" y="0"/>
            <wp:positionH relativeFrom="page">
              <wp:posOffset>2622550</wp:posOffset>
            </wp:positionH>
            <wp:positionV relativeFrom="paragraph">
              <wp:posOffset>496570</wp:posOffset>
            </wp:positionV>
            <wp:extent cx="389890" cy="55499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89890" cy="5549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3116580</wp:posOffset>
                </wp:positionH>
                <wp:positionV relativeFrom="paragraph">
                  <wp:posOffset>935355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40000000000001pt;margin-top:73.650000000000006pt;width:101.05pt;height:7.9000000000000004pt;z-index:251657737;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3076575</wp:posOffset>
                </wp:positionH>
                <wp:positionV relativeFrom="paragraph">
                  <wp:posOffset>618490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25pt;margin-top:48.700000000000003pt;width:135.59999999999999pt;height:20.400000000000002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19"/>
        <w:keepNext w:val="0"/>
        <w:keepLines w:val="0"/>
        <w:widowControl w:val="0"/>
        <w:shd w:val="clear" w:color="auto" w:fill="auto"/>
        <w:bidi w:val="0"/>
        <w:spacing w:before="0" w:after="0" w:line="240" w:lineRule="auto"/>
        <w:ind w:right="0" w:firstLine="0"/>
        <w:jc w:val="left"/>
        <w:rPr>
          <w:sz w:val="11"/>
          <w:szCs w:val="11"/>
        </w:rPr>
      </w:pPr>
      <w:r>
        <w:rPr>
          <w:rStyle w:val="CharStyle20"/>
        </w:rPr>
        <w:t xml:space="preserve">Кому выдан: </w:t>
      </w:r>
      <w:r>
        <w:rPr>
          <w:rStyle w:val="CharStyle20"/>
          <w:color w:val="000000"/>
          <w:sz w:val="11"/>
          <w:szCs w:val="11"/>
        </w:rPr>
        <w:t>Башкирова Анастасия Романовна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4FE3D4FC6DEBD554A3AED345029FF022</w:t>
      </w:r>
    </w:p>
    <w:p>
      <w:pPr>
        <w:pStyle w:val="Style19"/>
        <w:keepNext w:val="0"/>
        <w:keepLines w:val="0"/>
        <w:widowControl w:val="0"/>
        <w:shd w:val="clear" w:color="auto" w:fill="auto"/>
        <w:bidi w:val="0"/>
        <w:spacing w:before="0" w:after="280" w:line="240" w:lineRule="auto"/>
        <w:ind w:right="0" w:firstLine="0"/>
        <w:jc w:val="left"/>
      </w:pPr>
      <w:r>
        <w:rPr>
          <w:rStyle w:val="CharStyle20"/>
        </w:rPr>
        <w:t xml:space="preserve">Действителен с 21.04.2026 </w:t>
      </w:r>
      <w:r>
        <w:rPr>
          <w:rStyle w:val="CharStyle20"/>
          <w:color w:val="5C5C5C"/>
        </w:rPr>
        <w:t xml:space="preserve">по </w:t>
      </w:r>
      <w:r>
        <w:rPr>
          <w:rStyle w:val="CharStyle20"/>
        </w:rPr>
        <w:t>15.07.2027</w:t>
      </w:r>
    </w:p>
    <w:p>
      <w:pPr>
        <w:pStyle w:val="Style14"/>
        <w:keepNext w:val="0"/>
        <w:keepLines w:val="0"/>
        <w:widowControl w:val="0"/>
        <w:shd w:val="clear" w:color="auto" w:fill="auto"/>
        <w:bidi w:val="0"/>
        <w:spacing w:before="0" w:after="640" w:line="240" w:lineRule="auto"/>
        <w:ind w:left="1740" w:right="0" w:firstLine="0"/>
        <w:jc w:val="left"/>
      </w:pPr>
      <w:r>
        <w:rPr>
          <w:rStyle w:val="CharStyle15"/>
        </w:rPr>
        <w:t>Ю.М. Горелова</w:t>
      </w:r>
    </w:p>
    <w:p>
      <w:pPr>
        <w:pStyle w:val="Style19"/>
        <w:keepNext w:val="0"/>
        <w:keepLines w:val="0"/>
        <w:widowControl w:val="0"/>
        <w:shd w:val="clear" w:color="auto" w:fill="auto"/>
        <w:bidi w:val="0"/>
        <w:spacing w:before="0" w:after="0" w:line="240" w:lineRule="auto"/>
        <w:ind w:right="0" w:firstLine="0"/>
        <w:jc w:val="left"/>
        <w:rPr>
          <w:sz w:val="11"/>
          <w:szCs w:val="11"/>
        </w:rPr>
      </w:pPr>
      <w:r>
        <w:rPr>
          <w:rStyle w:val="CharStyle20"/>
        </w:rPr>
        <w:t xml:space="preserve">Кому выдан: </w:t>
      </w:r>
      <w:r>
        <w:rPr>
          <w:rStyle w:val="CharStyle20"/>
          <w:color w:val="000000"/>
          <w:sz w:val="11"/>
          <w:szCs w:val="11"/>
        </w:rPr>
        <w:t>ГОРЕЛОВА ЮЛИЯ МИХАЙЛОВНА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00FF7542F1CF520D7ED33CCA8883500081</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Действителен с 21.04.2026 </w:t>
      </w:r>
      <w:r>
        <w:rPr>
          <w:rStyle w:val="CharStyle20"/>
          <w:color w:val="5C5C5C"/>
        </w:rPr>
        <w:t xml:space="preserve">по </w:t>
      </w:r>
      <w:r>
        <w:rPr>
          <w:rStyle w:val="CharStyle20"/>
        </w:rPr>
        <w:t>15.07.2027</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725170</wp:posOffset>
              </wp:positionH>
              <wp:positionV relativeFrom="page">
                <wp:posOffset>10046970</wp:posOffset>
              </wp:positionV>
              <wp:extent cx="658495" cy="88265"/>
              <wp:wrapNone/>
              <wp:docPr id="3" name="Shape 3"/>
              <a:graphic xmlns:a="http://schemas.openxmlformats.org/drawingml/2006/main">
                <a:graphicData uri="http://schemas.microsoft.com/office/word/2010/wordprocessingShape">
                  <wps:wsp>
                    <wps:cNvSpPr txBox="1"/>
                    <wps:spPr>
                      <a:xfrm>
                        <a:ext cx="65849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2026-3219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91.10000000000002pt;width:51.850000000000001pt;height:6.9500000000000002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2026-3219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9888220</wp:posOffset>
              </wp:positionV>
              <wp:extent cx="658495" cy="88265"/>
              <wp:wrapNone/>
              <wp:docPr id="5" name="Shape 5"/>
              <a:graphic xmlns:a="http://schemas.openxmlformats.org/drawingml/2006/main">
                <a:graphicData uri="http://schemas.microsoft.com/office/word/2010/wordprocessingShape">
                  <wps:wsp>
                    <wps:cNvSpPr txBox="1"/>
                    <wps:spPr>
                      <a:xfrm>
                        <a:ext cx="65849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2026-3219</w:t>
                          </w:r>
                        </w:p>
                      </w:txbxContent>
                    </wps:txbx>
                    <wps:bodyPr wrap="none" lIns="0" tIns="0" rIns="0" bIns="0">
                      <a:spAutoFit/>
                    </wps:bodyPr>
                  </wps:wsp>
                </a:graphicData>
              </a:graphic>
            </wp:anchor>
          </w:drawing>
        </mc:Choice>
        <mc:Fallback>
          <w:pict>
            <v:shape id="_x0000_s1031" type="#_x0000_t202" style="position:absolute;margin-left:57.pt;margin-top:778.60000000000002pt;width:51.850000000000001pt;height:6.9500000000000002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 (4)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34"/>
      <w:szCs w:val="34"/>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Body text (4)"/>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 w:type="paragraph" w:customStyle="1" w:styleId="Style24">
    <w:name w:val="Heading #1"/>
    <w:basedOn w:val="Normal"/>
    <w:link w:val="CharStyle25"/>
    <w:pPr>
      <w:widowControl w:val="0"/>
      <w:shd w:val="clear" w:color="auto" w:fill="auto"/>
      <w:spacing w:after="320"/>
      <w:outlineLvl w:val="0"/>
    </w:pPr>
    <w:rPr>
      <w:rFonts w:ascii="Arial" w:eastAsia="Arial" w:hAnsi="Arial" w:cs="Arial"/>
      <w:b w:val="0"/>
      <w:bCs w:val="0"/>
      <w:i w:val="0"/>
      <w:iCs w:val="0"/>
      <w:smallCaps w:val="0"/>
      <w:strike w:val="0"/>
      <w:sz w:val="34"/>
      <w:szCs w:val="34"/>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