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20.05.2026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21355/26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20.05.2026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21355/26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 xml:space="preserve">ГБПОУ МПК </w:t>
      </w:r>
      <w:r>
        <w:fldChar w:fldCharType="begin"/>
      </w:r>
      <w:r>
        <w:rPr/>
        <w:instrText> HYPERLINK "mailto:mpk@edu.mos.ru" </w:instrText>
      </w:r>
      <w:r>
        <w:fldChar w:fldCharType="separate"/>
      </w:r>
      <w:r>
        <w:rPr>
          <w:rStyle w:val="CharStyle7"/>
          <w:lang w:val="en-US" w:eastAsia="en-US"/>
        </w:rPr>
        <w:t>mpk@edu.mos.ru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480" w:lineRule="auto"/>
        <w:ind w:left="1140" w:right="0" w:firstLine="0"/>
        <w:jc w:val="both"/>
      </w:pPr>
      <w:r>
        <w:rPr>
          <w:rStyle w:val="CharStyle7"/>
        </w:rPr>
        <w:t xml:space="preserve">ООО «Десктоп» </w:t>
      </w:r>
      <w:r>
        <w:fldChar w:fldCharType="begin"/>
      </w:r>
      <w:r>
        <w:rPr/>
        <w:instrText> HYPERLINK "mailto:desktopspb@mail.ru" </w:instrText>
      </w:r>
      <w:r>
        <w:fldChar w:fldCharType="separate"/>
      </w:r>
      <w:r>
        <w:rPr>
          <w:rStyle w:val="CharStyle7"/>
          <w:lang w:val="en-US" w:eastAsia="en-US"/>
        </w:rPr>
        <w:t>desktopspb@mail.ru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077/06/105-6197/2026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15.05.2026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ГБПОУ МПК: Д.С. Гнездилова (по доверенности </w:t>
      </w:r>
      <w:r>
        <w:rPr>
          <w:rStyle w:val="CharStyle7"/>
          <w:lang w:val="en-US" w:eastAsia="en-US"/>
        </w:rPr>
        <w:t xml:space="preserve">№ 25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07.06.2025),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«Десктоп»: И.А. Игнатьева (по доверенности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02.03.2026),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«Десктоп»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ГБПОУ МПК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компьютерной техники (Мониторы) для нужд образовательных организаций, подведомственных Департаменту образования и науки города Москвы (Закупка </w:t>
      </w:r>
      <w:r>
        <w:rPr>
          <w:rStyle w:val="CharStyle7"/>
          <w:lang w:val="en-US" w:eastAsia="en-US"/>
        </w:rPr>
        <w:t xml:space="preserve">№ 0373200286126000006)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7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Заявитель обжалует действия комиссии по осуществлению закупок Заказчика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комиссия Заказчика), выразившиеся в неправомерном признании заявки Заявителя не соответствующей требованиям извещения об осуществлении закупки по результатам рассмотрения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08.05.2026 </w:t>
      </w:r>
      <w:r>
        <w:rPr>
          <w:rStyle w:val="CharStyle7"/>
        </w:rPr>
        <w:t xml:space="preserve">№ИЭА1 заявка ООО «Десктоп» (идентификационный номер </w:t>
      </w:r>
      <w:r>
        <w:rPr>
          <w:rStyle w:val="CharStyle7"/>
          <w:lang w:val="en-US" w:eastAsia="en-US"/>
        </w:rPr>
        <w:t xml:space="preserve">3187865) </w:t>
      </w:r>
      <w:r>
        <w:rPr>
          <w:rStyle w:val="CharStyle7"/>
        </w:rPr>
        <w:t>отклонена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</w:rPr>
        <w:t xml:space="preserve">«Отклонить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7"/>
          <w:i/>
          <w:iCs/>
          <w:lang w:val="en-US" w:eastAsia="en-US"/>
        </w:rPr>
        <w:t xml:space="preserve">2, 3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Закона 44-ФЗ), несоответствие таких информации и документов требованиям» Отклонить заявку на участие в закупке по п.1 ч.12 ст.48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7"/>
          <w:i/>
          <w:iCs/>
          <w:lang w:val="en-US" w:eastAsia="en-US"/>
        </w:rPr>
        <w:t xml:space="preserve">2, 3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6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>Закона 44-ФЗ), несоответствие таких информации и документов требованиям»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</w:rPr>
        <w:t xml:space="preserve">Подпунктом «а» пункта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установлено, что для участия в конкурентном способе заявка на участие в закупке, если иное не предусмотрено Законом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44-ФЗ, должна содержать предложение участника закупки в отношении объекта закупки с указанием с учетом положений части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характеристик предлагаемого участником закупки товара, соответствующих показателям, установленным в описании объекта закупки в соответствии с частью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33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</w:rPr>
        <w:t xml:space="preserve">Таким образом, во исполнение подпункта «а» пункта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43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44-ФЗ участнику закупки в предложении в отношении предлагаемого к поставке товара надлежит указывать информацию о товарном знаке, сведения о котором содержатся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</w:rPr>
        <w:t xml:space="preserve">Заявка участника содержит реестровой записи из РРПП </w:t>
      </w:r>
      <w:r>
        <w:rPr>
          <w:rStyle w:val="CharStyle7"/>
          <w:i/>
          <w:iCs/>
          <w:lang w:val="en-US" w:eastAsia="en-US"/>
        </w:rPr>
        <w:t xml:space="preserve">(№ 10729775) </w:t>
      </w:r>
      <w:r>
        <w:rPr>
          <w:rStyle w:val="CharStyle7"/>
          <w:i/>
          <w:iCs/>
        </w:rPr>
        <w:t xml:space="preserve">на продукцию с товарным знаком «БЕШТАУ» </w:t>
      </w:r>
      <w:r>
        <w:rPr>
          <w:rStyle w:val="CharStyle7"/>
          <w:i/>
          <w:iCs/>
          <w:lang w:val="en-US" w:eastAsia="en-US"/>
        </w:rPr>
        <w:t xml:space="preserve">(№ </w:t>
      </w:r>
      <w:r>
        <w:rPr>
          <w:rStyle w:val="CharStyle7"/>
          <w:i/>
          <w:iCs/>
        </w:rPr>
        <w:t xml:space="preserve">государственной регистрации: </w:t>
      </w:r>
      <w:r>
        <w:rPr>
          <w:rStyle w:val="CharStyle7"/>
          <w:i/>
          <w:iCs/>
          <w:lang w:val="en-US" w:eastAsia="en-US"/>
        </w:rPr>
        <w:t xml:space="preserve">896247), </w:t>
      </w:r>
      <w:r>
        <w:rPr>
          <w:rStyle w:val="CharStyle7"/>
          <w:i/>
          <w:iCs/>
        </w:rPr>
        <w:t>однако в графе «Товарный знак» структурированной заявки не представлена информация о наличии товарного знака»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Заказчиком согласно извещению установлены требования к необходимым к поставке компьютерной техники (Мониторы) для нужд образовательных организаций, подведомственных Департаменту образования и науки города Москвы.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 xml:space="preserve">Закона о контрактной системе, </w:t>
      </w:r>
      <w:r>
        <w:rPr>
          <w:rStyle w:val="CharStyle7"/>
          <w:i/>
          <w:iCs/>
        </w:rPr>
        <w:t>товарный знак (при наличии у товара товарного знака)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16" w:lineRule="auto"/>
        <w:ind w:left="0" w:right="0" w:firstLine="700"/>
        <w:jc w:val="both"/>
      </w:pPr>
      <w:r>
        <w:rPr>
          <w:rStyle w:val="CharStyle7"/>
        </w:rPr>
        <w:t xml:space="preserve">с учетом положений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 предложение по критериям, предусмотренным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14" w:lineRule="auto"/>
        <w:ind w:left="0" w:right="0" w:firstLine="700"/>
        <w:jc w:val="both"/>
      </w:pPr>
      <w:r>
        <w:rPr>
          <w:rStyle w:val="CharStyle7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7"/>
        </w:rPr>
        <w:t>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Заказчиком в п.12 «Информационная карта по проведению аукциона в электронной форме» установлено,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rStyle w:val="CharStyle7"/>
          <w:lang w:val="en-US" w:eastAsia="en-US"/>
        </w:rPr>
        <w:t>«</w:t>
      </w:r>
      <w:r>
        <w:rPr>
          <w:rStyle w:val="CharStyle7"/>
          <w:i/>
          <w:iCs/>
          <w:lang w:val="en-US" w:eastAsia="en-US"/>
        </w:rPr>
        <w:t xml:space="preserve">4. </w:t>
      </w:r>
      <w:r>
        <w:rPr>
          <w:rStyle w:val="CharStyle7"/>
          <w:i/>
          <w:iCs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33 </w:t>
      </w:r>
      <w:r>
        <w:rPr>
          <w:rStyle w:val="CharStyle7"/>
          <w:i/>
          <w:iCs/>
        </w:rPr>
        <w:t>Закона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i/>
          <w:iCs/>
          <w:lang w:val="en-US" w:eastAsia="en-US"/>
        </w:rPr>
        <w:t xml:space="preserve">6. </w:t>
      </w:r>
      <w:r>
        <w:rPr>
          <w:rStyle w:val="CharStyle7"/>
          <w:i/>
          <w:iCs/>
        </w:rPr>
        <w:t>Товарный знак (при наличии)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составе заявки Заявитель представил сведения об объекте закупки, в частности: по п. «Монитор, подключаемый к компьютеру»: «Товарный знак: Не заполнено», «Страна происхождения: Российская Федерация», при этом также указан номер из реестра российской промышленной продукции </w:t>
      </w:r>
      <w:r>
        <w:rPr>
          <w:rStyle w:val="CharStyle7"/>
          <w:lang w:val="en-US" w:eastAsia="en-US"/>
        </w:rPr>
        <w:t xml:space="preserve">— 10729775 </w:t>
      </w:r>
      <w:r>
        <w:rPr>
          <w:rStyle w:val="CharStyle7"/>
        </w:rPr>
        <w:t>на товар производства ООО «Бештау Электроникс».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Заявителя пояснил, что слово «БЕШТАУ» является неохраняемым элементом и не могло использоваться при указании товарного знака.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Действительно в сервисе поиска товарных знаков имеется товарный знак </w:t>
      </w:r>
      <w:r>
        <w:rPr>
          <w:rStyle w:val="CharStyle7"/>
          <w:lang w:val="en-US" w:eastAsia="en-US"/>
        </w:rPr>
        <w:t xml:space="preserve">№ 896247. </w:t>
      </w:r>
      <w:r>
        <w:rPr>
          <w:rStyle w:val="CharStyle7"/>
        </w:rPr>
        <w:t>В соответствии со сведениями Реестра лицом, которому предоставлено право использования товарного знака по лицензионному договору, является ООО «Бештау Электроникс». Вместе с тем, данный товарный знак помимо словесного обозначения «Бештау», являющегося собственным наименованием горы как географического объекта (оронимом), имеет графическое изображение (рисунок).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участник закупки в составе своей заявки с идентификационным номером </w:t>
      </w:r>
      <w:r>
        <w:rPr>
          <w:rStyle w:val="CharStyle7"/>
          <w:lang w:val="en-US" w:eastAsia="en-US"/>
        </w:rPr>
        <w:t xml:space="preserve">N3187865 </w:t>
      </w:r>
      <w:r>
        <w:rPr>
          <w:rStyle w:val="CharStyle7"/>
        </w:rPr>
        <w:t xml:space="preserve">предоставил реестровую запись из реестра российской промышленной продукции </w:t>
      </w:r>
      <w:r>
        <w:rPr>
          <w:rStyle w:val="CharStyle7"/>
          <w:lang w:val="en-US" w:eastAsia="en-US"/>
        </w:rPr>
        <w:t xml:space="preserve">(№ 10729775) </w:t>
      </w:r>
      <w:r>
        <w:rPr>
          <w:rStyle w:val="CharStyle7"/>
        </w:rPr>
        <w:t xml:space="preserve">на продукцию с товарным знаком «БЕШТАУ» </w:t>
      </w:r>
      <w:r>
        <w:rPr>
          <w:rStyle w:val="CharStyle7"/>
          <w:lang w:val="en-US" w:eastAsia="en-US"/>
        </w:rPr>
        <w:t xml:space="preserve">(№ </w:t>
      </w:r>
      <w:r>
        <w:rPr>
          <w:rStyle w:val="CharStyle7"/>
        </w:rPr>
        <w:t xml:space="preserve">государственной регистрации: </w:t>
      </w:r>
      <w:r>
        <w:rPr>
          <w:rStyle w:val="CharStyle7"/>
          <w:lang w:val="en-US" w:eastAsia="en-US"/>
        </w:rPr>
        <w:t xml:space="preserve">896247), </w:t>
      </w:r>
      <w:r>
        <w:rPr>
          <w:rStyle w:val="CharStyle7"/>
        </w:rPr>
        <w:t>однако в графе «Товарный знак» структурированной заявки не представлена информация о наличии товарного знака.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информацией официального сайта Роспатента в Государственном реестре товарных знаков зарегистрирован товарный знак на предлагаемый заявителем товар под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государственной регистрации: </w:t>
      </w:r>
      <w:r>
        <w:rPr>
          <w:rStyle w:val="CharStyle7"/>
          <w:lang w:val="en-US" w:eastAsia="en-US"/>
        </w:rPr>
        <w:t>896247.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Соответственно ООО «Десктоп» мог указать регистрационный номер свидетельства или обозначить сведения о товарном знаке иным способом в графе «товарный знак» структурированной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свою очередь, Комиссия Управления отмечает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В соответствии со ст. </w:t>
      </w:r>
      <w:r>
        <w:rPr>
          <w:rStyle w:val="CharStyle7"/>
          <w:lang w:val="en-US" w:eastAsia="en-US"/>
        </w:rPr>
        <w:t xml:space="preserve">1477 </w:t>
      </w:r>
      <w:r>
        <w:rPr>
          <w:rStyle w:val="CharStyle7"/>
        </w:rPr>
        <w:t xml:space="preserve">Гражданского кодекса Российской Федерации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ГК РФ) на товарный знак, то есть на обозначение, служащее для индивидуализации товаров юридических лиц или индивидуальных предпринимателей, признается исключительное право, удостоверяемое свидетельством на товарный знак.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При этом в соответствии с положениями статей </w:t>
      </w:r>
      <w:r>
        <w:rPr>
          <w:rStyle w:val="CharStyle7"/>
          <w:lang w:val="en-US" w:eastAsia="en-US"/>
        </w:rPr>
        <w:t xml:space="preserve">1479, 1480, 1481 </w:t>
      </w:r>
      <w:r>
        <w:rPr>
          <w:rStyle w:val="CharStyle7"/>
        </w:rPr>
        <w:t>ГК РФ указанное обозначение является товарным знаком только в случае его государственной регистрации федеральным органом исполнительной власти по интеллектуальной собственности и выдачи соответствующего свидетельства.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 соответствии с положениями ГК РФ регистрация товарного знака является не обязанностью, а правом юридического лица или индивидуального предпринимателя.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Вместе с тем, исходя из ч.1 ст.1503 ГК РФ, в Государственный реестр товарных знаков вносятся товарный знак, сведения о правообладателе, дата приоритета товарного знака, перечень товаров, для индивидуализации которых зарегистрирован товарный знак, дата его государственной регистрации, другие сведения, относящиеся к регистрации товарного знака, а также последующие изменения этих сведений.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Комиссия Управления отмечает, что указание участником закупки в заявке на участие в закупке сведений, позволяющих идентифицировать наличие или отсутствие товарного знака (указание регистрационного номера свидетельства, заполнение соответствующей графы посредством указания слов «отсутствует», «нет», иных способов), не противоречит положениям законодательства Российской Федерации о контрактной системе в сфере закупок и не является основанием для отклонения заявки такого участника.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Аналогичная позиция отражена в письме ФАС России от </w:t>
      </w:r>
      <w:r>
        <w:rPr>
          <w:rStyle w:val="CharStyle7"/>
          <w:lang w:val="en-US" w:eastAsia="en-US"/>
        </w:rPr>
        <w:t xml:space="preserve">31.01.2025 № </w:t>
      </w:r>
      <w:r>
        <w:rPr>
          <w:rStyle w:val="CharStyle7"/>
        </w:rPr>
        <w:t>ГР/7996/25 «О рассмотрении обращения».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Вместе с тем, в данном случае данная обязанность не была исполнена Заявителем и заявка не содержит информации об имеющемся у товаре товарном знаке.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40"/>
        <w:jc w:val="both"/>
      </w:pPr>
      <w:r>
        <w:rPr>
          <w:rStyle w:val="CharStyle7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49 </w:t>
      </w:r>
      <w:r>
        <w:rPr>
          <w:rStyle w:val="CharStyle7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непредставления (за исключением случаев, предусмотренных настоящим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ООО «Десктоп» на действия комиссии по осуществлению закупок ГБПОУ МПК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9" w:val="left"/>
        </w:tabs>
        <w:bidi w:val="0"/>
        <w:spacing w:before="0" w:after="22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87" w:right="536" w:bottom="963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736600" distB="340995" distL="0" distR="0" simplePos="0" relativeHeight="125829381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50000000000001pt;margin-top:58.pt;width:145.20000000000002pt;height:19.699999999999999pt;z-index:-125829372;mso-wrap-distance-left:0;mso-wrap-distance-top:58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73430" distB="0" distL="0" distR="1786255" simplePos="0" relativeHeight="125829383" behindDoc="0" locked="0" layoutInCell="1" allowOverlap="1">
            <wp:simplePos x="0" y="0"/>
            <wp:positionH relativeFrom="page">
              <wp:posOffset>3069590</wp:posOffset>
            </wp:positionH>
            <wp:positionV relativeFrom="paragraph">
              <wp:posOffset>773430</wp:posOffset>
            </wp:positionV>
            <wp:extent cx="389890" cy="5549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1212215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60000000000002pt;margin-top:95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895350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44999999999999pt;margin-top:70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340995" distL="0" distR="0" simplePos="0" relativeHeight="125829384" behindDoc="0" locked="0" layoutInCell="1" allowOverlap="1">
                <wp:simplePos x="0" y="0"/>
                <wp:positionH relativeFrom="page">
                  <wp:posOffset>5904230</wp:posOffset>
                </wp:positionH>
                <wp:positionV relativeFrom="paragraph">
                  <wp:posOffset>736600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4.90000000000003pt;margin-top:58.pt;width:102.95pt;height:19.699999999999999pt;z-index:-125829369;mso-wrap-distance-left:0;mso-wrap-distance-top:58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60000000000002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44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276EF4D805B62E966E204BCBEB72461C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05.12.2025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28.02.2027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6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4999999999999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ХЛЕБНИКОВА АНАСТАСИЯ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00BDC586F2C22E864181858031D16A1</w:t>
      </w:r>
      <w:r>
        <w:rPr>
          <w:rStyle w:val="CharStyle20"/>
          <w:color w:val="292929"/>
        </w:rPr>
        <w:t>1</w:t>
      </w:r>
      <w:r>
        <w:rPr>
          <w:rStyle w:val="CharStyle20"/>
        </w:rPr>
        <w:t>13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280" w:line="240" w:lineRule="auto"/>
        <w:ind w:right="0" w:firstLine="0"/>
        <w:jc w:val="left"/>
      </w:pPr>
      <w:r>
        <w:rPr>
          <w:rStyle w:val="CharStyle20"/>
        </w:rPr>
        <w:t>Действителен с 31.1</w:t>
      </w:r>
      <w:r>
        <w:rPr>
          <w:rStyle w:val="CharStyle20"/>
          <w:color w:val="5E5E5E"/>
        </w:rPr>
        <w:t xml:space="preserve">0.2025 по </w:t>
      </w:r>
      <w:r>
        <w:rPr>
          <w:rStyle w:val="CharStyle20"/>
        </w:rPr>
        <w:t>24.01.2027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10110470</wp:posOffset>
              </wp:positionV>
              <wp:extent cx="71945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2026-24581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96.10000000000002pt;width:56.64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2026-24581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10124440</wp:posOffset>
              </wp:positionV>
              <wp:extent cx="734695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2026-24581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797.20000000000005pt;width:57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2026-24581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483235</wp:posOffset>
              </wp:positionV>
              <wp:extent cx="73025" cy="850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8.050000000000004pt;width:5.75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