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sz w:val="30"/>
          <w:szCs w:val="30"/>
        </w:rPr>
        <w:t>21.05.2026</w:t>
      </w:r>
      <w:r>
        <w:fldChar w:fldCharType="end"/>
      </w:r>
      <w:r>
        <w:rPr>
          <w:rStyle w:val="CharStyle10"/>
          <w:sz w:val="30"/>
          <w:szCs w:val="30"/>
        </w:rPr>
        <w:tab/>
        <w:t>№ 21853/26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ГБУ г. Москвы «Автомобильные дороги ЗАО» </w:t>
      </w:r>
      <w:r>
        <w:fldChar w:fldCharType="begin"/>
      </w:r>
      <w:r>
        <w:rPr/>
        <w:instrText> HYPERLINK "mailto:gbuzao@mail.ru" </w:instrText>
      </w:r>
      <w:r>
        <w:fldChar w:fldCharType="separate"/>
      </w:r>
      <w:r>
        <w:rPr>
          <w:rStyle w:val="CharStyle10"/>
          <w:lang w:val="en-US" w:eastAsia="en-US"/>
        </w:rPr>
        <w:t>gbuzao@mail.ru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ГКУ «Дирекция ЖКХиБ ЗАО»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"mailto:KomarovSG1@pzao.mos.ru" </w:instrText>
      </w:r>
      <w:r>
        <w:fldChar w:fldCharType="separate"/>
      </w:r>
      <w:r>
        <w:rPr>
          <w:rStyle w:val="CharStyle10"/>
          <w:lang w:val="en-US" w:eastAsia="en-US"/>
        </w:rPr>
        <w:t>KomarovSG1@pzao.mos.ru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405" w:bottom="708" w:left="1265" w:header="0" w:footer="3" w:gutter="0"/>
          <w:pgNumType w:start="1"/>
          <w:cols w:num="2" w:space="1051"/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ООО «ТСК САРМАД» </w:t>
      </w:r>
      <w:r>
        <w:fldChar w:fldCharType="begin"/>
      </w:r>
      <w:r>
        <w:rPr/>
        <w:instrText> HYPERLINK "mailto:tsk.sarmad@yandex.ru" </w:instrText>
      </w:r>
      <w:r>
        <w:fldChar w:fldCharType="separate"/>
      </w:r>
      <w:r>
        <w:rPr>
          <w:rStyle w:val="CharStyle10"/>
          <w:lang w:val="en-US" w:eastAsia="en-US"/>
        </w:rPr>
        <w:t>tsk.sarmad@yandex.ru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0" w:right="0" w:bottom="7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3"/>
          <w:b/>
          <w:bCs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№077/06/105-6298/2026 </w:t>
      </w:r>
      <w:r>
        <w:rPr>
          <w:rStyle w:val="CharStyle10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0"/>
          <w:b/>
          <w:bCs/>
          <w:lang w:val="en-US" w:eastAsia="en-US"/>
        </w:rPr>
        <w:t>18.05.2026</w:t>
        <w:tab/>
      </w:r>
      <w:r>
        <w:rPr>
          <w:rStyle w:val="CharStyle10"/>
          <w:b/>
          <w:bCs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Председательствующего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главного специалиста 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 эксперта отдела обжалования государственных закупок 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ООО «ТСК САРМАД»: В.Д. Бабичева (по доверенности </w:t>
      </w:r>
      <w:r>
        <w:rPr>
          <w:rStyle w:val="CharStyle10"/>
          <w:lang w:val="en-US" w:eastAsia="en-US"/>
        </w:rPr>
        <w:t xml:space="preserve">№ 5/1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14.05.2026);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ГБУ г. Москвы «Автомобильные дороги ЗАО»: А.С. Пичугина (по доверенности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б/н от </w:t>
      </w:r>
      <w:r>
        <w:rPr>
          <w:rStyle w:val="CharStyle10"/>
          <w:lang w:val="en-US" w:eastAsia="en-US"/>
        </w:rPr>
        <w:t>17.02.2026);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отсутствие представителей ГКУ «Дирекция ЖКХиБ ЗАО»,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рассмотрев жалобу ООО «ТСК САРМАД»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Заявитель) на действия ГБУ г. Москвы «Автомобильные дороги ЗАО»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Заказчик) при проведении открытого конкурса в электронной форме на право заключения государственного контракта на выполнение работ по устройству искусственных покрытий (Закупка </w:t>
      </w:r>
      <w:r>
        <w:rPr>
          <w:rStyle w:val="CharStyle10"/>
          <w:lang w:val="en-US" w:eastAsia="en-US"/>
        </w:rPr>
        <w:t xml:space="preserve">№ 0373200014226000164)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Конкурс), в соответствии с Федеральным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0"/>
        </w:rPr>
        <w:t xml:space="preserve">законом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комиссия Заказчика) при проведении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составе жалобы Заявитель указывает, что комиссией Заказчика нарушен порядок оценки заявки Заявителя по детализирующему показателю «Характеристика квалификации участников закупки (Общее количество исполненных участником закупки договоров)» показателю оценки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тем Комиссией Управления проводится проверка действий конкурсной комиссии Заказчика в части применения установленного в извещении порядка оценки заявок на участие в конкурсе.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«р» п.1, пп «в» п.2, п.5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П.4 ч.2 ст.42 Закона о контрактной системе установлено, чтоизвещение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ст.32 Закона о контрактной системе установлено, чтодля оценки заявок участников закупки заказчик использует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ч.1 ст.32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извещением о проведении открытого конкурса в электронной форме оценка заявок производится в соответствии с Постановлением Правительства РФ от </w:t>
      </w:r>
      <w:r>
        <w:rPr>
          <w:rStyle w:val="CharStyle10"/>
          <w:lang w:val="en-US" w:eastAsia="en-US"/>
        </w:rPr>
        <w:t xml:space="preserve">31.12.2021 № 2604 </w:t>
      </w:r>
      <w:r>
        <w:rPr>
          <w:rStyle w:val="CharStyle10"/>
        </w:rPr>
        <w:t>«Об оценке заявок на участие в закупке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товаров, работ, услуг для обеспечения государственных и муниципальных нужд внесении изменений в пункт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2021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2369 </w:t>
      </w:r>
      <w:r>
        <w:rPr>
          <w:rStyle w:val="CharStyle10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№2604).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Абз.1 п.1 Постановления Постановление №2604утверждено Положение об оценке заявок на участие в закупке товаров, работ, услуг для обеспечения государственных и муниципальных нужд(далее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абз.1 п.2 Положения «оценка заявок»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опыта поставки товара, выполнения работы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 «а» п.28 Положения для оценки заявок по показателям оценки в случае применения показателя оценки, предусмотренного пп.«в» п.24 Положения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определено, что согласно извещению об осуществлении закупки Заказчиком установлен, в том числе, следующий порядок оценки заявок участников закупки по детализирующему показателю «Характеристика квалификации участников закупки (Общее количество исполненных участником закупки договоров)» показателю оценки «Наличие у участников закупки опыта поставки товара, выполнения работы, оказания услуги связанного с предметом контракта» нестоимостного критерия «Квалификация участников закупки, в том числе наличие у них финансовых ресурсов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«</w:t>
      </w:r>
      <w:r>
        <w:rPr>
          <w:rStyle w:val="CharStyle10"/>
          <w:i/>
          <w:iCs/>
        </w:rPr>
        <w:t xml:space="preserve">Оценка заявок по критерию оценки «квалификация участников закупки» осуществляется в порядке, установленном пунктами </w:t>
      </w:r>
      <w:r>
        <w:rPr>
          <w:rStyle w:val="CharStyle10"/>
          <w:i/>
          <w:iCs/>
          <w:lang w:val="en-US" w:eastAsia="en-US"/>
        </w:rPr>
        <w:t xml:space="preserve">20-23 </w:t>
      </w:r>
      <w:r>
        <w:rPr>
          <w:rStyle w:val="CharStyle10"/>
          <w:i/>
          <w:iCs/>
        </w:rPr>
        <w:t xml:space="preserve">раздела </w:t>
      </w:r>
      <w:r>
        <w:rPr>
          <w:rStyle w:val="CharStyle10"/>
          <w:i/>
          <w:iCs/>
          <w:lang w:val="en-US" w:eastAsia="en-US"/>
        </w:rPr>
        <w:t xml:space="preserve">IV </w:t>
      </w:r>
      <w:r>
        <w:rPr>
          <w:rStyle w:val="CharStyle10"/>
          <w:i/>
          <w:iCs/>
        </w:rPr>
        <w:t>Положения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>для оценки заявок по критерию оценки «характеристики объекта закупки».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Лучшим для заказчика является наибольшее значение квалификации участника закупки и установлены предельное минимальное значение </w:t>
      </w:r>
      <w:r>
        <w:rPr>
          <w:rStyle w:val="CharStyle10"/>
          <w:i/>
          <w:iCs/>
          <w:lang w:val="en-US" w:eastAsia="en-US"/>
        </w:rPr>
        <w:t xml:space="preserve">(Xпредmin) </w:t>
      </w:r>
      <w:r>
        <w:rPr>
          <w:rStyle w:val="CharStyle10"/>
          <w:i/>
          <w:iCs/>
        </w:rPr>
        <w:t xml:space="preserve">квалификации участника закупки и предельное максимальное значение </w:t>
      </w:r>
      <w:r>
        <w:rPr>
          <w:rStyle w:val="CharStyle10"/>
          <w:i/>
          <w:iCs/>
          <w:lang w:val="en-US" w:eastAsia="en-US"/>
        </w:rPr>
        <w:t xml:space="preserve">(Xпредmax) </w:t>
      </w:r>
      <w:r>
        <w:rPr>
          <w:rStyle w:val="CharStyle10"/>
          <w:i/>
          <w:iCs/>
        </w:rPr>
        <w:t>квалификации участника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Значение количества баллов по детализирующему показателю, присваиваемых заявке, подлежащей оценке по критерию оценки «квалификация участников закупки» </w:t>
      </w:r>
      <w:r>
        <w:rPr>
          <w:rStyle w:val="CharStyle10"/>
          <w:i/>
          <w:iCs/>
          <w:lang w:val="en-US" w:eastAsia="en-US"/>
        </w:rPr>
        <w:t xml:space="preserve">(БXi), </w:t>
      </w:r>
      <w:r>
        <w:rPr>
          <w:rStyle w:val="CharStyle10"/>
          <w:i/>
          <w:iCs/>
        </w:rPr>
        <w:t>рассчитывается по формуле: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7"/>
          <w:i/>
          <w:iCs/>
          <w:sz w:val="24"/>
          <w:szCs w:val="24"/>
        </w:rPr>
        <w:t>БX</w:t>
      </w:r>
      <w:r>
        <w:rPr>
          <w:rStyle w:val="CharStyle17"/>
          <w:i/>
          <w:iCs/>
          <w:sz w:val="14"/>
          <w:szCs w:val="14"/>
        </w:rPr>
        <w:t>i</w:t>
      </w:r>
      <w:r>
        <w:rPr>
          <w:rStyle w:val="CharStyle17"/>
          <w:i/>
          <w:iCs/>
          <w:sz w:val="24"/>
          <w:szCs w:val="24"/>
        </w:rPr>
        <w:t>=(X</w:t>
      </w:r>
      <w:r>
        <w:rPr>
          <w:rStyle w:val="CharStyle17"/>
          <w:i/>
          <w:iCs/>
          <w:sz w:val="14"/>
          <w:szCs w:val="14"/>
        </w:rPr>
        <w:t>i</w:t>
      </w:r>
      <w:r>
        <w:rPr>
          <w:rStyle w:val="CharStyle17"/>
          <w:i/>
          <w:iCs/>
          <w:sz w:val="24"/>
          <w:szCs w:val="24"/>
        </w:rPr>
        <w:t>–X</w:t>
      </w:r>
      <w:r>
        <w:rPr>
          <w:rStyle w:val="CharStyle17"/>
          <w:i/>
          <w:iCs/>
          <w:sz w:val="24"/>
          <w:szCs w:val="24"/>
          <w:vertAlign w:val="superscript"/>
        </w:rPr>
        <w:t>пред</w:t>
      </w:r>
      <w:r>
        <w:rPr>
          <w:rStyle w:val="CharStyle17"/>
          <w:i/>
          <w:iCs/>
          <w:sz w:val="14"/>
          <w:szCs w:val="14"/>
        </w:rPr>
        <w:t>min</w:t>
      </w:r>
      <w:r>
        <w:rPr>
          <w:rStyle w:val="CharStyle17"/>
          <w:i/>
          <w:iCs/>
          <w:sz w:val="24"/>
          <w:szCs w:val="24"/>
        </w:rPr>
        <w:t>)*(100/( X</w:t>
      </w:r>
      <w:r>
        <w:rPr>
          <w:rStyle w:val="CharStyle17"/>
          <w:i/>
          <w:iCs/>
          <w:sz w:val="24"/>
          <w:szCs w:val="24"/>
          <w:vertAlign w:val="superscript"/>
        </w:rPr>
        <w:t>пред</w:t>
      </w:r>
      <w:r>
        <w:rPr>
          <w:rStyle w:val="CharStyle17"/>
          <w:i/>
          <w:iCs/>
          <w:sz w:val="14"/>
          <w:szCs w:val="14"/>
        </w:rPr>
        <w:t>max</w:t>
      </w:r>
      <w:r>
        <w:rPr>
          <w:rStyle w:val="CharStyle17"/>
          <w:i/>
          <w:iCs/>
          <w:sz w:val="24"/>
          <w:szCs w:val="24"/>
        </w:rPr>
        <w:t>– X</w:t>
      </w:r>
      <w:r>
        <w:rPr>
          <w:rStyle w:val="CharStyle17"/>
          <w:i/>
          <w:iCs/>
          <w:sz w:val="24"/>
          <w:szCs w:val="24"/>
          <w:vertAlign w:val="superscript"/>
        </w:rPr>
        <w:t>пред</w:t>
      </w:r>
      <w:r>
        <w:rPr>
          <w:rStyle w:val="CharStyle17"/>
          <w:i/>
          <w:iCs/>
          <w:sz w:val="14"/>
          <w:szCs w:val="14"/>
        </w:rPr>
        <w:t>min</w:t>
      </w:r>
      <w:r>
        <w:rPr>
          <w:rStyle w:val="CharStyle17"/>
          <w:i/>
          <w:iCs/>
          <w:sz w:val="24"/>
          <w:szCs w:val="24"/>
        </w:rPr>
        <w:t>)),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где: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  <w:lang w:val="en-US" w:eastAsia="en-US"/>
        </w:rPr>
        <w:t xml:space="preserve">Xi – </w:t>
      </w:r>
      <w:r>
        <w:rPr>
          <w:rStyle w:val="CharStyle10"/>
          <w:i/>
          <w:iCs/>
        </w:rPr>
        <w:t>значение квалификации участника закупки, содержащееся в предложении участника закупки, заявка (часть заявки) которого подлежит в соответствии с Федеральным законом оценке по критерию оценки «квалификация участников закупки»;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  <w:lang w:val="en-US" w:eastAsia="en-US"/>
        </w:rPr>
        <w:t xml:space="preserve">Xпредmin – </w:t>
      </w:r>
      <w:r>
        <w:rPr>
          <w:rStyle w:val="CharStyle10"/>
          <w:i/>
          <w:iCs/>
        </w:rPr>
        <w:t>предельное минимальное значение квалификации участника закупки, установленное заказчиком и определенное в размере равном нулю.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  <w:lang w:val="en-US" w:eastAsia="en-US"/>
        </w:rPr>
        <w:t xml:space="preserve">Xпредmax – </w:t>
      </w:r>
      <w:r>
        <w:rPr>
          <w:rStyle w:val="CharStyle10"/>
          <w:i/>
          <w:iCs/>
        </w:rPr>
        <w:t>максимальное значение характеристики объекта закупки (общее количество исполненных участником закупки договоров), содержащееся в заявках (частях заявок), подлежащих оценке. Лучшим является наибольшее значение характеристики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Оценивается предложение участника об общем количестве исполненных участником контрактов (договоров) за последние </w:t>
      </w:r>
      <w:r>
        <w:rPr>
          <w:rStyle w:val="CharStyle10"/>
          <w:i/>
          <w:iCs/>
          <w:lang w:val="en-US" w:eastAsia="en-US"/>
        </w:rPr>
        <w:t xml:space="preserve">5 </w:t>
      </w:r>
      <w:r>
        <w:rPr>
          <w:rStyle w:val="CharStyle10"/>
          <w:i/>
          <w:iCs/>
        </w:rPr>
        <w:t>лет, предшествующие дате подачи заявки участником на участие в настоящей закупке (оценивается суммарное количество исполненных участником закупки контрактов (договоров), исчисляемых в штуках, связанных с предметом контракта, заключаемого по результатам проведения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Под работами, связанными с предметом контракта, заключаемого по результатам проведения закупки, понимаются работы по благоустройству территорий.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Опыт участника по выполнению работ, связанных с предметом контракта, подтверждается следующими документами, направленными в форме электронных документов или в форме электронных образов бумажных документов: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исполненный договор;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акт выполненных работ, подтверждающий цену выполненных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Последний акт, составленный при исполнении контракта (договора) и предусмотренный абзацем третьим подпункта «в» пункта </w:t>
      </w:r>
      <w:r>
        <w:rPr>
          <w:rStyle w:val="CharStyle10"/>
          <w:i/>
          <w:iCs/>
          <w:lang w:val="en-US" w:eastAsia="en-US"/>
        </w:rPr>
        <w:t xml:space="preserve">28 </w:t>
      </w:r>
      <w:r>
        <w:rPr>
          <w:rStyle w:val="CharStyle10"/>
          <w:i/>
          <w:iCs/>
        </w:rPr>
        <w:t xml:space="preserve">Положения, должен быть подписан не ранее чем за </w:t>
      </w:r>
      <w:r>
        <w:rPr>
          <w:rStyle w:val="CharStyle10"/>
          <w:i/>
          <w:iCs/>
          <w:lang w:val="en-US" w:eastAsia="en-US"/>
        </w:rPr>
        <w:t xml:space="preserve">5 </w:t>
      </w:r>
      <w:r>
        <w:rPr>
          <w:rStyle w:val="CharStyle10"/>
          <w:i/>
          <w:iCs/>
        </w:rPr>
        <w:t>лет до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0"/>
          <w:b/>
          <w:bCs/>
          <w:i/>
          <w:iCs/>
        </w:rPr>
        <w:t xml:space="preserve">К оценке принимаются исключительно контракт(-ы), заключенный(-ые) и исполненный(-ые) в соответствии с Федеральным законом, и договор(-ы), в том числе заключенный(-ые) и исполненный(-ые) в соответствии с Федеральным законом от </w:t>
      </w:r>
      <w:r>
        <w:rPr>
          <w:rStyle w:val="CharStyle10"/>
          <w:b/>
          <w:bCs/>
          <w:i/>
          <w:iCs/>
          <w:lang w:val="en-US" w:eastAsia="en-US"/>
        </w:rPr>
        <w:t xml:space="preserve">18.07.2011 № </w:t>
      </w:r>
      <w:r>
        <w:rPr>
          <w:rStyle w:val="CharStyle10"/>
          <w:b/>
          <w:bCs/>
          <w:i/>
          <w:iCs/>
        </w:rPr>
        <w:t>223-ФЗ «О закупках товаров, работ,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  <w:i/>
          <w:iCs/>
        </w:rPr>
        <w:t>услуг отдельными видами юридических лиц», при исполнении которого(-ых) поставщиком (подрядчиком, исполнителем) исполнены требования об уплате неустоек (штрафов, пеней) (в случае начисления неустоек)</w:t>
      </w:r>
      <w:r>
        <w:rPr>
          <w:rStyle w:val="CharStyle10"/>
          <w:i/>
          <w:iCs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К оценке принимаются контракт(-ы) (договор(-ы)) с учетом правопреемства (в случае наличия в заявке подтверждающего документа).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выполненных работ).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К оценке принимаются документы, в том числе,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>В случае, если подтверждающие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сфере закупок в информационно- телекоммуникационной-сети «Интернет» таких документов, вместо направления таких документов участник закупки вправе направить номер реестровой записи из соответствующего реестра.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Информацию о номерах реестровых записей рекомендуется предоставлять в структурированном виде. Рекомендуемая форма «Сводные сведения о наличии у участника опыта работы, связанного с предметом контракта (договора)», приведена в Приложении </w:t>
      </w:r>
      <w:r>
        <w:rPr>
          <w:rStyle w:val="CharStyle10"/>
          <w:i/>
          <w:iCs/>
          <w:lang w:val="en-US" w:eastAsia="en-US"/>
        </w:rPr>
        <w:t xml:space="preserve">№ 1 </w:t>
      </w:r>
      <w:r>
        <w:rPr>
          <w:rStyle w:val="CharStyle10"/>
          <w:i/>
          <w:iCs/>
        </w:rPr>
        <w:t>к настоящим критериям оценки заявок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 в сфере закупок </w:t>
      </w:r>
      <w:r>
        <w:rPr>
          <w:rStyle w:val="CharStyle10"/>
          <w:i/>
          <w:iCs/>
          <w:lang w:val="en-US" w:eastAsia="en-US"/>
        </w:rPr>
        <w:t>zakupki.gov.ru</w:t>
      </w:r>
      <w:r>
        <w:rPr>
          <w:rStyle w:val="CharStyle10"/>
          <w:lang w:val="en-US" w:eastAsia="en-US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ч.4 ст.106 Закона о контрактной системе участник закупки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заседании Комиссии Управления представитель Заявителя пояснил, что Заявитель в составе заявки предоставил документы в соответствии со всеми требованиями, установленными в порядке оценки заявок, подтверждающие наличие договоров/контрактов на общую сумму </w:t>
      </w:r>
      <w:r>
        <w:rPr>
          <w:rStyle w:val="CharStyle10"/>
          <w:lang w:val="en-US" w:eastAsia="en-US"/>
        </w:rPr>
        <w:t xml:space="preserve">4 882 759 488,03 </w:t>
      </w:r>
      <w:r>
        <w:rPr>
          <w:rStyle w:val="CharStyle10"/>
        </w:rPr>
        <w:t>руб.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благоустройству территории, общее количество исполненных договоров/контрактов </w:t>
      </w:r>
      <w:r>
        <w:rPr>
          <w:rStyle w:val="CharStyle10"/>
          <w:lang w:val="en-US" w:eastAsia="en-US"/>
        </w:rPr>
        <w:t xml:space="preserve">– 58. </w:t>
      </w:r>
      <w:r>
        <w:rPr>
          <w:rStyle w:val="CharStyle10"/>
        </w:rPr>
        <w:t>Приложенный в составе заявки файл «СВОДНЫЕ СВЕДЕНИЯ о наличии у участника закупки опыта работы, связанного с предметом контракта (договора)».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Предоставленный Заявителем опыт составляет </w:t>
      </w:r>
      <w:r>
        <w:rPr>
          <w:rStyle w:val="CharStyle10"/>
          <w:lang w:val="en-US" w:eastAsia="en-US"/>
        </w:rPr>
        <w:t xml:space="preserve">202 290% </w:t>
      </w:r>
      <w:r>
        <w:rPr>
          <w:rStyle w:val="CharStyle10"/>
        </w:rPr>
        <w:t xml:space="preserve">от НМЦК, при этом комиссия присвоила заявке Заявителя </w:t>
      </w:r>
      <w:r>
        <w:rPr>
          <w:rStyle w:val="CharStyle10"/>
          <w:lang w:val="en-US" w:eastAsia="en-US"/>
        </w:rPr>
        <w:t xml:space="preserve">5,36 </w:t>
      </w:r>
      <w:r>
        <w:rPr>
          <w:rStyle w:val="CharStyle10"/>
        </w:rPr>
        <w:t xml:space="preserve">баллов, что в </w:t>
      </w:r>
      <w:r>
        <w:rPr>
          <w:rStyle w:val="CharStyle10"/>
          <w:lang w:val="en-US" w:eastAsia="en-US"/>
        </w:rPr>
        <w:t xml:space="preserve">7,46 </w:t>
      </w:r>
      <w:r>
        <w:rPr>
          <w:rStyle w:val="CharStyle10"/>
        </w:rPr>
        <w:t>раза меньше балла по оценке опыта победителя.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этом в обосновании своей позиции представитель Заявителя указывает, что комиссией Заказчика, что при установленном порядке оценки заявок, должна учитываться сумма контрактов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что, вопреки доводам Заявителя, Заказчиком согласно установленному порядку оценки оценивалось предложение участников об общем количестве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представитель Заказчика добавил, что Заявителем представлено </w:t>
      </w:r>
      <w:r>
        <w:rPr>
          <w:rStyle w:val="CharStyle10"/>
          <w:lang w:val="en-US" w:eastAsia="en-US"/>
        </w:rPr>
        <w:t xml:space="preserve">58 </w:t>
      </w:r>
      <w:r>
        <w:rPr>
          <w:rStyle w:val="CharStyle10"/>
        </w:rPr>
        <w:t xml:space="preserve">контрактов, к учету из которых принято </w:t>
      </w:r>
      <w:r>
        <w:rPr>
          <w:rStyle w:val="CharStyle10"/>
          <w:lang w:val="en-US" w:eastAsia="en-US"/>
        </w:rPr>
        <w:t xml:space="preserve">55 </w:t>
      </w:r>
      <w:r>
        <w:rPr>
          <w:rStyle w:val="CharStyle10"/>
        </w:rPr>
        <w:t>контрактов.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Победителем закупки представлен </w:t>
      </w:r>
      <w:r>
        <w:rPr>
          <w:rStyle w:val="CharStyle10"/>
          <w:lang w:val="en-US" w:eastAsia="en-US"/>
        </w:rPr>
        <w:t xml:space="preserve">481 </w:t>
      </w:r>
      <w:r>
        <w:rPr>
          <w:rStyle w:val="CharStyle10"/>
        </w:rPr>
        <w:t xml:space="preserve">контракт, к учету из которых принято </w:t>
      </w:r>
      <w:r>
        <w:rPr>
          <w:rStyle w:val="CharStyle10"/>
          <w:lang w:val="en-US" w:eastAsia="en-US"/>
        </w:rPr>
        <w:t xml:space="preserve">410 </w:t>
      </w:r>
      <w:r>
        <w:rPr>
          <w:rStyle w:val="CharStyle10"/>
        </w:rPr>
        <w:t>контрактов.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Так, ряд контрактов по заявке победителя не принят к учету на основании просроченного срока подписания актов выполненных работ, а также несоответствия предмету контрактов, согласно которому участником осуществлялась поставка товара без монтажа, что не соответствует предмету данной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Заявителем представлено минимальное предложение, отличное от представленного Победителем закупки, по детализирующему показателю «Характеристика квалификации участников закупки (Общее количество исполненных участником закупки договоров)» показателю оценки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ввиду чего комиссией Заказчика правомерно присвоено заявке Заявителя </w:t>
      </w:r>
      <w:r>
        <w:rPr>
          <w:rStyle w:val="CharStyle10"/>
          <w:lang w:val="en-US" w:eastAsia="en-US"/>
        </w:rPr>
        <w:t xml:space="preserve">5,36 </w:t>
      </w:r>
      <w:r>
        <w:rPr>
          <w:rStyle w:val="CharStyle10"/>
        </w:rPr>
        <w:t>баллов.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ч.2 ст.48 Закона о контрактной системе заявка на участие в закупке состоит из трех частей. Вторая часть должна содержать информацию и документы, предусмотренные пп. «м»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«р» пп. </w:t>
      </w:r>
      <w:r>
        <w:rPr>
          <w:rStyle w:val="CharStyle10"/>
          <w:lang w:val="en-US" w:eastAsia="en-US"/>
        </w:rPr>
        <w:t xml:space="preserve">1, </w:t>
      </w:r>
      <w:r>
        <w:rPr>
          <w:rStyle w:val="CharStyle10"/>
        </w:rPr>
        <w:t xml:space="preserve">пп. «в» пп. </w:t>
      </w:r>
      <w:r>
        <w:rPr>
          <w:rStyle w:val="CharStyle10"/>
          <w:lang w:val="en-US" w:eastAsia="en-US"/>
        </w:rPr>
        <w:t xml:space="preserve">2, </w:t>
      </w:r>
      <w:r>
        <w:rPr>
          <w:rStyle w:val="CharStyle10"/>
        </w:rPr>
        <w:t xml:space="preserve">пп.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закупке, информации и документов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ч.10 ст.48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ч.10 ст.48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ст.32 Закона о контрактной системе (если такой критерий установлен извещением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Доказательств обратного Заявителем в составе жалобы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0" w:right="545" w:bottom="769" w:left="1089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жалобу ООО «ТСК САРМАД» на действия комиссии ГБУ г. Москвы «Автомобильные дороги ЗАО»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06" w:val="left"/>
        </w:tabs>
        <w:bidi w:val="0"/>
        <w:spacing w:before="0" w:after="180" w:line="240" w:lineRule="auto"/>
        <w:ind w:left="0" w:right="0" w:firstLine="700"/>
        <w:jc w:val="both"/>
      </w:pPr>
      <w:r>
        <w:rPr>
          <w:rStyle w:val="CharStyle10"/>
        </w:rPr>
        <w:t>.Снять ограничения на определение поставщика (подрядчика, исполнителя) наложенные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26.pt;width:145.20000000000002pt;height:19.900000000000002pt;z-index:-125829374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6255" simplePos="0" relativeHeight="125829381" behindDoc="0" locked="0" layoutInCell="1" allowOverlap="1">
            <wp:simplePos x="0" y="0"/>
            <wp:positionH relativeFrom="page">
              <wp:posOffset>3049270</wp:posOffset>
            </wp:positionH>
            <wp:positionV relativeFrom="paragraph">
              <wp:posOffset>367030</wp:posOffset>
            </wp:positionV>
            <wp:extent cx="389890" cy="56070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3543300</wp:posOffset>
                </wp:positionH>
                <wp:positionV relativeFrom="paragraph">
                  <wp:posOffset>808990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9.pt;margin-top:63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3500120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5.60000000000002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2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330200</wp:posOffset>
                </wp:positionV>
                <wp:extent cx="130429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4.75pt;margin-top:26.pt;width:102.7pt;height:19.900000000000002pt;z-index:-125829371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00EA3D636CED58A70F15417FA130B2F6C</w:t>
      </w:r>
      <w:r>
        <w:rPr>
          <w:rStyle w:val="CharStyle26"/>
          <w:lang w:val="en-US" w:eastAsia="en-US"/>
        </w:rPr>
        <w:t>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>Действителен с 20.04.2026 по 14.07.2027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2" w:bottom="1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907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429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9.pt;width:105.85000000000001pt;height:19.699999999999999pt;z-index:-125829369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0500" distB="0" distL="0" distR="1786255" simplePos="0" relativeHeight="125829386" behindDoc="0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190500</wp:posOffset>
            </wp:positionV>
            <wp:extent cx="353695" cy="39624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3500755</wp:posOffset>
                </wp:positionH>
                <wp:positionV relativeFrom="paragraph">
                  <wp:posOffset>275590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5.65000000000003pt;margin-top:21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9075" distL="0" distR="0" simplePos="0" relativeHeight="125829387" behindDoc="0" locked="0" layoutInCell="1" allowOverlap="1">
                <wp:simplePos x="0" y="0"/>
                <wp:positionH relativeFrom="page">
                  <wp:posOffset>6103620</wp:posOffset>
                </wp:positionH>
                <wp:positionV relativeFrom="paragraph">
                  <wp:posOffset>114300</wp:posOffset>
                </wp:positionV>
                <wp:extent cx="110617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0.60000000000002pt;margin-top:9.pt;width:87.100000000000009pt;height:19.699999999999999pt;z-index:-125829366;mso-wrap-distance-left:0;mso-wrap-distance-top:9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0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00FDA1C988AAB27A9A34756B8D5F1D853</w:t>
      </w:r>
      <w:r>
        <w:rPr>
          <w:rStyle w:val="CharStyle26"/>
          <w:lang w:val="en-US" w:eastAsia="en-US"/>
        </w:rPr>
        <w:t>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6"/>
        </w:rPr>
        <w:t>Действителен с 22.07.2025 по 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0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3049270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3543300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9.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3500120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5.60000000000002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ПЕРЕВЕРЗЕВА ЕЛИЗАВЕТА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A2A2A"/>
        </w:rPr>
        <w:t xml:space="preserve">№ </w:t>
      </w:r>
      <w:r>
        <w:rPr>
          <w:rStyle w:val="CharStyle26"/>
          <w:lang w:val="en-US" w:eastAsia="en-US"/>
        </w:rPr>
        <w:t>00FFF3ACD3A01A73F4C680C3941E3CA026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20" w:line="240" w:lineRule="auto"/>
        <w:ind w:right="0" w:firstLine="0"/>
        <w:jc w:val="left"/>
      </w:pPr>
      <w:r>
        <w:rPr>
          <w:rStyle w:val="CharStyle26"/>
        </w:rPr>
        <w:t>Действителен с 11.12.2025 по 06.03.2027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7"/>
          <w:lang w:val="ru-RU" w:eastAsia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95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10214610</wp:posOffset>
              </wp:positionV>
              <wp:extent cx="74041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04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5pt;margin-top:804.30000000000007pt;width:58.300000000000004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3917315</wp:posOffset>
              </wp:positionH>
              <wp:positionV relativeFrom="page">
                <wp:posOffset>442595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44999999999999pt;margin-top:34.850000000000001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00"/>
      <w:ind w:left="44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