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21621/26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21.05.2026</w:t>
                      </w:r>
                      <w:r>
                        <w:fldChar w:fldCharType="end"/>
                      </w:r>
                      <w:r>
                        <w:rPr>
                          <w:rStyle w:val="CharStyle7"/>
                          <w:sz w:val="30"/>
                          <w:szCs w:val="30"/>
                        </w:rPr>
                        <w:tab/>
                        <w:t>№ 21621/26</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716915</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"mailto:vladimirova.vn@med.ru" </w:instrText>
      </w:r>
      <w:r>
        <w:fldChar w:fldCharType="separate"/>
      </w:r>
      <w:r>
        <w:rPr>
          <w:rStyle w:val="CharStyle7"/>
          <w:lang w:val="en-US" w:eastAsia="en-US"/>
        </w:rPr>
        <w:t>vladimirova.vn@med.ru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34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077/06/105-6264/2026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tabs>
          <w:tab w:pos="8947" w:val="left"/>
        </w:tabs>
        <w:bidi w:val="0"/>
        <w:spacing w:before="0" w:after="0" w:line="240" w:lineRule="auto"/>
        <w:ind w:left="0" w:right="0" w:firstLine="0"/>
        <w:jc w:val="both"/>
      </w:pPr>
      <w:r>
        <w:rPr>
          <w:rStyle w:val="CharStyle7"/>
          <w:b/>
          <w:bCs/>
          <w:lang w:val="en-US" w:eastAsia="en-US"/>
        </w:rPr>
        <w:t>18.05.2026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реагентов для нужд Федерального государственного бюджетного научного учреждения «РНЦХ им. акад. Б.В. Петровского» (Закупка </w:t>
      </w:r>
      <w:r>
        <w:rPr>
          <w:rStyle w:val="CharStyle7"/>
          <w:lang w:val="en-US" w:eastAsia="en-US"/>
        </w:rPr>
        <w:t xml:space="preserve">№ 0373100072126000747) </w:t>
      </w:r>
      <w:r>
        <w:rPr>
          <w:rStyle w:val="CharStyle7"/>
        </w:rPr>
        <w:t xml:space="preserve">(далее </w:t>
      </w:r>
      <w:r>
        <w:rPr>
          <w:rStyle w:val="CharStyle7"/>
          <w:lang w:val="en-US" w:eastAsia="en-US"/>
        </w:rPr>
        <w:t xml:space="preserve">— </w:t>
      </w:r>
      <w:r>
        <w:rPr>
          <w:rStyle w:val="CharStyle7"/>
        </w:rPr>
        <w:t>электронный аукцион, аукцион), в соответствии с Федеральным законом</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22" w:val="left"/>
        </w:tabs>
        <w:bidi w:val="0"/>
        <w:spacing w:before="0" w:after="0" w:line="240" w:lineRule="auto"/>
        <w:ind w:left="0" w:right="0" w:firstLine="68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 групп.</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68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68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2" w:val="left"/>
        </w:tabs>
        <w:bidi w:val="0"/>
        <w:spacing w:before="0" w:after="240" w:line="240" w:lineRule="auto"/>
        <w:ind w:left="0" w:right="0" w:firstLine="68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19" w:right="543" w:bottom="821" w:left="1105" w:header="0" w:footer="3" w:gutter="0"/>
          <w:pgNumType w:start="1"/>
          <w:cols w:space="720"/>
          <w:noEndnote/>
          <w:titlePg/>
          <w:rtlGutter w:val="0"/>
          <w:docGrid w:linePitch="360"/>
        </w:sectPr>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w:t>
      </w:r>
    </w:p>
    <w:p>
      <w:pPr>
        <w:pStyle w:val="Style6"/>
        <w:keepNext w:val="0"/>
        <w:keepLines w:val="0"/>
        <w:widowControl w:val="0"/>
        <w:shd w:val="clear" w:color="auto" w:fill="auto"/>
        <w:bidi w:val="0"/>
        <w:spacing w:before="0" w:after="0" w:line="240" w:lineRule="auto"/>
        <w:ind w:left="0" w:right="0" w:firstLine="0"/>
        <w:jc w:val="both"/>
      </w:pPr>
      <w:r>
        <w:rPr>
          <w:rStyle w:val="CharStyle7"/>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13"/>
          <w:footerReference w:type="default" r:id="rId14"/>
          <w:footnotePr>
            <w:pos w:val="pageBottom"/>
            <w:numFmt w:val="decimal"/>
            <w:numRestart w:val="continuous"/>
          </w:footnotePr>
          <w:type w:val="continuous"/>
          <w:pgSz w:w="11900" w:h="16840"/>
          <w:pgMar w:top="1019" w:right="543" w:bottom="821" w:left="1105" w:header="0" w:footer="393" w:gutter="0"/>
          <w:cols w:space="720"/>
          <w:noEndnote/>
          <w:rtlGutter w:val="0"/>
          <w:docGrid w:linePitch="360"/>
        </w:sectPr>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 xml:space="preserve">«з» п.10 Правил формирования КТРУ. При этом заказчик обязан при осуществлении </w:t>
      </w:r>
      <w:r>
        <w:rPr>
          <w:rStyle w:val="CharStyle7"/>
          <w:sz w:val="24"/>
          <w:szCs w:val="24"/>
          <w:lang w:val="en-US" w:eastAsia="en-US"/>
        </w:rPr>
        <w:t>2026-24905</w:t>
      </w:r>
    </w:p>
    <w:p>
      <w:pPr>
        <w:pStyle w:val="Style6"/>
        <w:keepNext w:val="0"/>
        <w:keepLines w:val="0"/>
        <w:widowControl w:val="0"/>
        <w:shd w:val="clear" w:color="auto" w:fill="auto"/>
        <w:bidi w:val="0"/>
        <w:spacing w:before="0" w:after="0" w:line="240" w:lineRule="auto"/>
        <w:ind w:left="0" w:right="0" w:firstLine="0"/>
        <w:jc w:val="both"/>
      </w:pPr>
      <w:r>
        <w:rPr>
          <w:rStyle w:val="CharStyle7"/>
        </w:rPr>
        <w:t>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049"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numPr>
          <w:ilvl w:val="0"/>
          <w:numId w:val="7"/>
        </w:numPr>
        <w:shd w:val="clear" w:color="auto" w:fill="auto"/>
        <w:tabs>
          <w:tab w:pos="1100" w:val="left"/>
        </w:tabs>
        <w:bidi w:val="0"/>
        <w:spacing w:before="0" w:after="0" w:line="257" w:lineRule="auto"/>
        <w:ind w:left="0" w:right="0" w:firstLine="700"/>
        <w:jc w:val="both"/>
      </w:pPr>
      <w:r>
        <w:rPr>
          <w:rStyle w:val="CharStyle7"/>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numPr>
          <w:ilvl w:val="0"/>
          <w:numId w:val="7"/>
        </w:numPr>
        <w:shd w:val="clear" w:color="auto" w:fill="auto"/>
        <w:tabs>
          <w:tab w:pos="1105" w:val="left"/>
        </w:tabs>
        <w:bidi w:val="0"/>
        <w:spacing w:before="0" w:after="0" w:line="257" w:lineRule="auto"/>
        <w:ind w:left="0" w:right="0" w:firstLine="700"/>
        <w:jc w:val="both"/>
      </w:pPr>
      <w:r>
        <w:rPr>
          <w:rStyle w:val="CharStyle7"/>
        </w:rPr>
        <w:t>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11" w:val="left"/>
        </w:tabs>
        <w:bidi w:val="0"/>
        <w:spacing w:before="0" w:after="0" w:line="257"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w:t>
      </w:r>
    </w:p>
    <w:p>
      <w:pPr>
        <w:pStyle w:val="Style6"/>
        <w:keepNext w:val="0"/>
        <w:keepLines w:val="0"/>
        <w:widowControl w:val="0"/>
        <w:shd w:val="clear" w:color="auto" w:fill="auto"/>
        <w:bidi w:val="0"/>
        <w:spacing w:before="0" w:after="0" w:line="254" w:lineRule="auto"/>
        <w:ind w:left="0" w:right="0" w:firstLine="0"/>
        <w:jc w:val="both"/>
      </w:pPr>
      <w:r>
        <w:rPr>
          <w:rStyle w:val="CharStyle7"/>
        </w:rPr>
        <w:t>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3" w:val="left"/>
        </w:tabs>
        <w:bidi w:val="0"/>
        <w:spacing w:before="0" w:after="0" w:line="254"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закупаются медицинские изделия различных наименований с кодом ОКПД2 </w:t>
      </w:r>
      <w:r>
        <w:rPr>
          <w:rStyle w:val="CharStyle7"/>
          <w:lang w:val="en-US" w:eastAsia="en-US"/>
        </w:rPr>
        <w:t>20.59.52.199.</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На заседании Комиссии Управления представитель Заказчика пояснил, что под данный объект закупки не соответствует не один из КТРУ, ввиду чего Заказчик применил общий код ОКПД2 </w:t>
      </w:r>
      <w:r>
        <w:rPr>
          <w:rStyle w:val="CharStyle7"/>
          <w:lang w:val="en-US" w:eastAsia="en-US"/>
        </w:rPr>
        <w:t>20.59.52.199.</w:t>
      </w:r>
    </w:p>
    <w:p>
      <w:pPr>
        <w:pStyle w:val="Style6"/>
        <w:keepNext w:val="0"/>
        <w:keepLines w:val="0"/>
        <w:widowControl w:val="0"/>
        <w:shd w:val="clear" w:color="auto" w:fill="auto"/>
        <w:bidi w:val="0"/>
        <w:spacing w:before="0" w:after="0" w:line="254" w:lineRule="auto"/>
        <w:ind w:left="0" w:right="0" w:firstLine="700"/>
        <w:jc w:val="both"/>
      </w:pPr>
      <w:r>
        <w:rPr>
          <w:rStyle w:val="CharStyle7"/>
        </w:rPr>
        <w:t>Комиссией Управления установлено, что, согласно извещению об осуществлении закупки на закупаемые изделия позиции КТРУ не применялись Заказчиком.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700"/>
        <w:jc w:val="both"/>
      </w:pPr>
      <w:r>
        <w:rPr>
          <w:rStyle w:val="CharStyle7"/>
        </w:rPr>
        <w:t>Также в составе жалобы Заявитель указывает, что установленные Заказчиком требования к характеристикам необходимых к поставке изделий</w:t>
      </w:r>
    </w:p>
    <w:p>
      <w:pPr>
        <w:pStyle w:val="Style6"/>
        <w:keepNext w:val="0"/>
        <w:keepLines w:val="0"/>
        <w:widowControl w:val="0"/>
        <w:shd w:val="clear" w:color="auto" w:fill="auto"/>
        <w:bidi w:val="0"/>
        <w:spacing w:before="0" w:after="0" w:line="240" w:lineRule="auto"/>
        <w:ind w:left="0" w:right="0" w:firstLine="0"/>
        <w:jc w:val="both"/>
      </w:pPr>
      <w:r>
        <w:rPr>
          <w:rStyle w:val="CharStyle7"/>
        </w:rPr>
        <w:t>ограничивают круг участников закупки, поскольку совокупности установленных требований к изделию не соответствует ни одно изделие, либо соответствует изделие конкретного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заседании Комиссии Управления представитель Заказчика пояснил, что каждой позиции описания объекта закупки соответствуют как минимум несколько производителей, например:</w:t>
      </w:r>
    </w:p>
    <w:p>
      <w:pPr>
        <w:pStyle w:val="Style6"/>
        <w:keepNext w:val="0"/>
        <w:keepLines w:val="0"/>
        <w:widowControl w:val="0"/>
        <w:shd w:val="clear" w:color="auto" w:fill="auto"/>
        <w:bidi w:val="0"/>
        <w:spacing w:before="0" w:after="0" w:line="240" w:lineRule="auto"/>
        <w:ind w:left="0" w:right="0" w:firstLine="660"/>
        <w:jc w:val="both"/>
      </w:pPr>
      <w:r>
        <w:rPr>
          <w:rStyle w:val="CharStyle7"/>
        </w:rPr>
        <w:t>по п.1 «Набор реагентов для секвенирования»:</w:t>
      </w:r>
    </w:p>
    <w:p>
      <w:pPr>
        <w:pStyle w:val="Style6"/>
        <w:keepNext w:val="0"/>
        <w:keepLines w:val="0"/>
        <w:widowControl w:val="0"/>
        <w:numPr>
          <w:ilvl w:val="0"/>
          <w:numId w:val="11"/>
        </w:numPr>
        <w:shd w:val="clear" w:color="auto" w:fill="auto"/>
        <w:tabs>
          <w:tab w:pos="920" w:val="left"/>
        </w:tabs>
        <w:bidi w:val="0"/>
        <w:spacing w:before="0" w:after="0" w:line="240" w:lineRule="auto"/>
        <w:ind w:left="0" w:right="0" w:firstLine="660"/>
        <w:jc w:val="both"/>
      </w:pPr>
      <w:r>
        <w:rPr>
          <w:rStyle w:val="CharStyle7"/>
        </w:rPr>
        <w:t xml:space="preserve">Набор реагентов для секвенирования </w:t>
      </w:r>
      <w:r>
        <w:rPr>
          <w:rStyle w:val="CharStyle7"/>
          <w:lang w:val="en-US" w:eastAsia="en-US"/>
        </w:rPr>
        <w:t xml:space="preserve">NextSeq 500/550 High Output Kit v2.5 (300 Cycles), </w:t>
      </w:r>
      <w:r>
        <w:rPr>
          <w:rStyle w:val="CharStyle7"/>
        </w:rPr>
        <w:t xml:space="preserve">Картридж с буфером хранится при температуре от </w:t>
      </w:r>
      <w:r>
        <w:rPr>
          <w:rStyle w:val="CharStyle7"/>
          <w:lang w:val="en-US" w:eastAsia="en-US"/>
        </w:rPr>
        <w:t xml:space="preserve">+15 °C </w:t>
      </w:r>
      <w:r>
        <w:rPr>
          <w:rStyle w:val="CharStyle7"/>
        </w:rPr>
        <w:t xml:space="preserve">до </w:t>
      </w:r>
      <w:r>
        <w:rPr>
          <w:rStyle w:val="CharStyle7"/>
          <w:lang w:val="en-US" w:eastAsia="en-US"/>
        </w:rPr>
        <w:t xml:space="preserve">+30 °C. </w:t>
      </w:r>
      <w:r>
        <w:rPr>
          <w:rStyle w:val="CharStyle7"/>
        </w:rPr>
        <w:t xml:space="preserve">Проточная ячейка также требует хранения при температуре от </w:t>
      </w:r>
      <w:r>
        <w:rPr>
          <w:rStyle w:val="CharStyle7"/>
          <w:lang w:val="en-US" w:eastAsia="en-US"/>
        </w:rPr>
        <w:t xml:space="preserve">-25 °C </w:t>
      </w:r>
      <w:r>
        <w:rPr>
          <w:rStyle w:val="CharStyle7"/>
        </w:rPr>
        <w:t xml:space="preserve">до </w:t>
      </w:r>
      <w:r>
        <w:rPr>
          <w:rStyle w:val="CharStyle7"/>
          <w:lang w:val="en-US" w:eastAsia="en-US"/>
        </w:rPr>
        <w:t xml:space="preserve">-15 °C, </w:t>
      </w:r>
      <w:r>
        <w:rPr>
          <w:rStyle w:val="CharStyle7"/>
        </w:rPr>
        <w:t xml:space="preserve">производства </w:t>
      </w:r>
      <w:r>
        <w:rPr>
          <w:rStyle w:val="CharStyle7"/>
          <w:lang w:val="en-US" w:eastAsia="en-US"/>
        </w:rPr>
        <w:t xml:space="preserve">Illumina, Inc, </w:t>
      </w:r>
      <w:r>
        <w:rPr>
          <w:rStyle w:val="CharStyle7"/>
        </w:rPr>
        <w:t>страна происхождения: США/Китай/Индия;</w:t>
      </w:r>
    </w:p>
    <w:p>
      <w:pPr>
        <w:pStyle w:val="Style6"/>
        <w:keepNext w:val="0"/>
        <w:keepLines w:val="0"/>
        <w:widowControl w:val="0"/>
        <w:numPr>
          <w:ilvl w:val="0"/>
          <w:numId w:val="11"/>
        </w:numPr>
        <w:shd w:val="clear" w:color="auto" w:fill="auto"/>
        <w:tabs>
          <w:tab w:pos="920" w:val="left"/>
        </w:tabs>
        <w:bidi w:val="0"/>
        <w:spacing w:before="0" w:after="0" w:line="240" w:lineRule="auto"/>
        <w:ind w:left="0" w:right="0" w:firstLine="660"/>
        <w:jc w:val="both"/>
      </w:pPr>
      <w:r>
        <w:rPr>
          <w:rStyle w:val="CharStyle7"/>
          <w:lang w:val="en-US" w:eastAsia="en-US"/>
        </w:rPr>
        <w:t xml:space="preserve">S000050 </w:t>
      </w:r>
      <w:r>
        <w:rPr>
          <w:rStyle w:val="CharStyle7"/>
        </w:rPr>
        <w:t xml:space="preserve">Набор для секвенирования на </w:t>
      </w:r>
      <w:r>
        <w:rPr>
          <w:rStyle w:val="CharStyle7"/>
          <w:lang w:val="en-US" w:eastAsia="en-US"/>
        </w:rPr>
        <w:t xml:space="preserve">GenoLab M V1.0 </w:t>
      </w:r>
      <w:r>
        <w:rPr>
          <w:rStyle w:val="CharStyle7"/>
        </w:rPr>
        <w:t xml:space="preserve">(Ячейка </w:t>
      </w:r>
      <w:r>
        <w:rPr>
          <w:rStyle w:val="CharStyle7"/>
          <w:lang w:val="en-US" w:eastAsia="en-US"/>
        </w:rPr>
        <w:t xml:space="preserve">FCH, 150 </w:t>
      </w:r>
      <w:r>
        <w:rPr>
          <w:rStyle w:val="CharStyle7"/>
        </w:rPr>
        <w:t xml:space="preserve">циклов, </w:t>
      </w:r>
      <w:r>
        <w:rPr>
          <w:rStyle w:val="CharStyle7"/>
          <w:lang w:val="en-US" w:eastAsia="en-US"/>
        </w:rPr>
        <w:t xml:space="preserve">500M </w:t>
      </w:r>
      <w:r>
        <w:rPr>
          <w:rStyle w:val="CharStyle7"/>
        </w:rPr>
        <w:t xml:space="preserve">прочтений на ячейку), производства </w:t>
      </w:r>
      <w:r>
        <w:rPr>
          <w:rStyle w:val="CharStyle7"/>
          <w:lang w:val="en-US" w:eastAsia="en-US"/>
        </w:rPr>
        <w:t xml:space="preserve">GeneMind, </w:t>
      </w:r>
      <w:r>
        <w:rPr>
          <w:rStyle w:val="CharStyle7"/>
        </w:rPr>
        <w:t>страна происхождения Китай;</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по п.2 «Набор реагентов для определения онкостатина </w:t>
      </w:r>
      <w:r>
        <w:rPr>
          <w:rStyle w:val="CharStyle7"/>
          <w:lang w:val="en-US" w:eastAsia="en-US"/>
        </w:rPr>
        <w:t xml:space="preserve">M </w:t>
      </w:r>
      <w:r>
        <w:rPr>
          <w:rStyle w:val="CharStyle7"/>
        </w:rPr>
        <w:t>человека»:</w:t>
      </w:r>
    </w:p>
    <w:p>
      <w:pPr>
        <w:pStyle w:val="Style6"/>
        <w:keepNext w:val="0"/>
        <w:keepLines w:val="0"/>
        <w:widowControl w:val="0"/>
        <w:numPr>
          <w:ilvl w:val="0"/>
          <w:numId w:val="11"/>
        </w:numPr>
        <w:shd w:val="clear" w:color="auto" w:fill="auto"/>
        <w:tabs>
          <w:tab w:pos="925" w:val="left"/>
        </w:tabs>
        <w:bidi w:val="0"/>
        <w:spacing w:before="0" w:after="0" w:line="240" w:lineRule="auto"/>
        <w:ind w:left="0" w:right="0" w:firstLine="660"/>
        <w:jc w:val="both"/>
      </w:pPr>
      <w:r>
        <w:rPr>
          <w:rStyle w:val="CharStyle7"/>
        </w:rPr>
        <w:t xml:space="preserve">Набор реагентов для определения онкостатина </w:t>
      </w:r>
      <w:r>
        <w:rPr>
          <w:rStyle w:val="CharStyle7"/>
          <w:lang w:val="en-US" w:eastAsia="en-US"/>
        </w:rPr>
        <w:t xml:space="preserve">M (OSM) </w:t>
      </w:r>
      <w:r>
        <w:rPr>
          <w:rStyle w:val="CharStyle7"/>
        </w:rPr>
        <w:t xml:space="preserve">человека, </w:t>
      </w:r>
      <w:r>
        <w:rPr>
          <w:rStyle w:val="CharStyle7"/>
          <w:lang w:val="en-US" w:eastAsia="en-US"/>
        </w:rPr>
        <w:t xml:space="preserve">96 </w:t>
      </w:r>
      <w:r>
        <w:rPr>
          <w:rStyle w:val="CharStyle7"/>
        </w:rPr>
        <w:t xml:space="preserve">(не для использования в медицинских целях), производства </w:t>
      </w:r>
      <w:r>
        <w:rPr>
          <w:rStyle w:val="CharStyle7"/>
          <w:lang w:val="en-US" w:eastAsia="en-US"/>
        </w:rPr>
        <w:t xml:space="preserve">RayBiotech, </w:t>
      </w:r>
      <w:r>
        <w:rPr>
          <w:rStyle w:val="CharStyle7"/>
        </w:rPr>
        <w:t>страна происхождения: США/Китай/Индия;</w:t>
      </w:r>
    </w:p>
    <w:p>
      <w:pPr>
        <w:pStyle w:val="Style6"/>
        <w:keepNext w:val="0"/>
        <w:keepLines w:val="0"/>
        <w:widowControl w:val="0"/>
        <w:numPr>
          <w:ilvl w:val="0"/>
          <w:numId w:val="11"/>
        </w:numPr>
        <w:shd w:val="clear" w:color="auto" w:fill="auto"/>
        <w:tabs>
          <w:tab w:pos="920" w:val="left"/>
        </w:tabs>
        <w:bidi w:val="0"/>
        <w:spacing w:before="0" w:after="0" w:line="240" w:lineRule="auto"/>
        <w:ind w:left="0" w:right="0" w:firstLine="660"/>
        <w:jc w:val="both"/>
      </w:pPr>
      <w:r>
        <w:rPr>
          <w:rStyle w:val="CharStyle7"/>
        </w:rPr>
        <w:t xml:space="preserve">Набор реагентов для количественного определения онкостатина </w:t>
      </w:r>
      <w:r>
        <w:rPr>
          <w:rStyle w:val="CharStyle7"/>
          <w:lang w:val="en-US" w:eastAsia="en-US"/>
        </w:rPr>
        <w:t xml:space="preserve">M, </w:t>
      </w:r>
      <w:r>
        <w:rPr>
          <w:rStyle w:val="CharStyle7"/>
        </w:rPr>
        <w:t xml:space="preserve">производства </w:t>
      </w:r>
      <w:r>
        <w:rPr>
          <w:rStyle w:val="CharStyle7"/>
          <w:lang w:val="en-US" w:eastAsia="en-US"/>
        </w:rPr>
        <w:t xml:space="preserve">Thermo Fisher Scientific, </w:t>
      </w:r>
      <w:r>
        <w:rPr>
          <w:rStyle w:val="CharStyle7"/>
        </w:rPr>
        <w:t>страна происхождения: Соединенные Штаты Америки;</w:t>
      </w:r>
    </w:p>
    <w:p>
      <w:pPr>
        <w:pStyle w:val="Style6"/>
        <w:keepNext w:val="0"/>
        <w:keepLines w:val="0"/>
        <w:widowControl w:val="0"/>
        <w:shd w:val="clear" w:color="auto" w:fill="auto"/>
        <w:bidi w:val="0"/>
        <w:spacing w:before="0" w:after="0" w:line="240" w:lineRule="auto"/>
        <w:ind w:left="0" w:right="0" w:firstLine="660"/>
        <w:jc w:val="both"/>
      </w:pPr>
      <w:r>
        <w:rPr>
          <w:rStyle w:val="CharStyle7"/>
        </w:rPr>
        <w:t>по п.3 «Набор реагентов для определения кателицидина»:</w:t>
      </w:r>
    </w:p>
    <w:p>
      <w:pPr>
        <w:pStyle w:val="Style6"/>
        <w:keepNext w:val="0"/>
        <w:keepLines w:val="0"/>
        <w:widowControl w:val="0"/>
        <w:numPr>
          <w:ilvl w:val="0"/>
          <w:numId w:val="11"/>
        </w:numPr>
        <w:shd w:val="clear" w:color="auto" w:fill="auto"/>
        <w:tabs>
          <w:tab w:pos="915" w:val="left"/>
        </w:tabs>
        <w:bidi w:val="0"/>
        <w:spacing w:before="0" w:after="0" w:line="240" w:lineRule="auto"/>
        <w:ind w:left="0" w:right="0" w:firstLine="660"/>
        <w:jc w:val="both"/>
      </w:pPr>
      <w:r>
        <w:rPr>
          <w:rStyle w:val="CharStyle7"/>
        </w:rPr>
        <w:t xml:space="preserve">Набор реагентов для определения кателицидина </w:t>
      </w:r>
      <w:r>
        <w:rPr>
          <w:rStyle w:val="CharStyle7"/>
          <w:lang w:val="en-US" w:eastAsia="en-US"/>
        </w:rPr>
        <w:t xml:space="preserve">LL-37, 96, </w:t>
      </w:r>
      <w:r>
        <w:rPr>
          <w:rStyle w:val="CharStyle7"/>
        </w:rPr>
        <w:t xml:space="preserve">производства </w:t>
      </w:r>
      <w:r>
        <w:rPr>
          <w:rStyle w:val="CharStyle7"/>
          <w:lang w:val="en-US" w:eastAsia="en-US"/>
        </w:rPr>
        <w:t xml:space="preserve">Hyclt biotech, </w:t>
      </w:r>
      <w:r>
        <w:rPr>
          <w:rStyle w:val="CharStyle7"/>
        </w:rPr>
        <w:t>страна происхождения Нидерланды/Китай/Индия;</w:t>
      </w:r>
    </w:p>
    <w:p>
      <w:pPr>
        <w:pStyle w:val="Style6"/>
        <w:keepNext w:val="0"/>
        <w:keepLines w:val="0"/>
        <w:widowControl w:val="0"/>
        <w:numPr>
          <w:ilvl w:val="0"/>
          <w:numId w:val="11"/>
        </w:numPr>
        <w:shd w:val="clear" w:color="auto" w:fill="auto"/>
        <w:tabs>
          <w:tab w:pos="920" w:val="left"/>
        </w:tabs>
        <w:bidi w:val="0"/>
        <w:spacing w:before="0" w:after="0" w:line="240" w:lineRule="auto"/>
        <w:ind w:left="0" w:right="0" w:firstLine="660"/>
        <w:jc w:val="both"/>
      </w:pPr>
      <w:r>
        <w:rPr>
          <w:rStyle w:val="CharStyle7"/>
          <w:lang w:val="en-US" w:eastAsia="en-US"/>
        </w:rPr>
        <w:t xml:space="preserve">Human Cathelicidin (LL-37) ELISA Kit, 96 </w:t>
      </w:r>
      <w:r>
        <w:rPr>
          <w:rStyle w:val="CharStyle7"/>
        </w:rPr>
        <w:t xml:space="preserve">тестов, производства </w:t>
      </w:r>
      <w:r>
        <w:rPr>
          <w:rStyle w:val="CharStyle7"/>
          <w:lang w:val="en-US" w:eastAsia="en-US"/>
        </w:rPr>
        <w:t xml:space="preserve">Unigent Biotechnologies Co. Ltd., </w:t>
      </w:r>
      <w:r>
        <w:rPr>
          <w:rStyle w:val="CharStyle7"/>
        </w:rPr>
        <w:t>страна происхождения: Китай;</w:t>
      </w:r>
    </w:p>
    <w:p>
      <w:pPr>
        <w:pStyle w:val="Style6"/>
        <w:keepNext w:val="0"/>
        <w:keepLines w:val="0"/>
        <w:widowControl w:val="0"/>
        <w:shd w:val="clear" w:color="auto" w:fill="auto"/>
        <w:bidi w:val="0"/>
        <w:spacing w:before="0" w:after="0" w:line="240" w:lineRule="auto"/>
        <w:ind w:left="0" w:right="0" w:firstLine="660"/>
        <w:jc w:val="both"/>
      </w:pPr>
      <w:r>
        <w:rPr>
          <w:rStyle w:val="CharStyle7"/>
        </w:rPr>
        <w:t>по п.4 «Бромистого этидия»:</w:t>
      </w:r>
    </w:p>
    <w:p>
      <w:pPr>
        <w:pStyle w:val="Style6"/>
        <w:keepNext w:val="0"/>
        <w:keepLines w:val="0"/>
        <w:widowControl w:val="0"/>
        <w:numPr>
          <w:ilvl w:val="0"/>
          <w:numId w:val="11"/>
        </w:numPr>
        <w:shd w:val="clear" w:color="auto" w:fill="auto"/>
        <w:tabs>
          <w:tab w:pos="915" w:val="left"/>
        </w:tabs>
        <w:bidi w:val="0"/>
        <w:spacing w:before="0" w:after="0" w:line="240" w:lineRule="auto"/>
        <w:ind w:left="0" w:right="0" w:firstLine="660"/>
        <w:jc w:val="both"/>
      </w:pPr>
      <w:r>
        <w:rPr>
          <w:rStyle w:val="CharStyle7"/>
        </w:rPr>
        <w:t xml:space="preserve">Бромистого этидия, раствор </w:t>
      </w:r>
      <w:r>
        <w:rPr>
          <w:rStyle w:val="CharStyle7"/>
          <w:lang w:val="en-US" w:eastAsia="en-US"/>
        </w:rPr>
        <w:t xml:space="preserve">(10 </w:t>
      </w:r>
      <w:r>
        <w:rPr>
          <w:rStyle w:val="CharStyle7"/>
        </w:rPr>
        <w:t xml:space="preserve">мг/мл), производства </w:t>
      </w:r>
      <w:r>
        <w:rPr>
          <w:rStyle w:val="CharStyle7"/>
          <w:lang w:val="en-US" w:eastAsia="en-US"/>
        </w:rPr>
        <w:t xml:space="preserve">Sisco Research Laboratories Pvt. Ltd. (SRL), </w:t>
      </w:r>
      <w:r>
        <w:rPr>
          <w:rStyle w:val="CharStyle7"/>
        </w:rPr>
        <w:t>страна происхождения: Индия;</w:t>
      </w:r>
    </w:p>
    <w:p>
      <w:pPr>
        <w:pStyle w:val="Style6"/>
        <w:keepNext w:val="0"/>
        <w:keepLines w:val="0"/>
        <w:widowControl w:val="0"/>
        <w:numPr>
          <w:ilvl w:val="0"/>
          <w:numId w:val="11"/>
        </w:numPr>
        <w:shd w:val="clear" w:color="auto" w:fill="auto"/>
        <w:tabs>
          <w:tab w:pos="920" w:val="left"/>
        </w:tabs>
        <w:bidi w:val="0"/>
        <w:spacing w:before="0" w:after="0" w:line="240" w:lineRule="auto"/>
        <w:ind w:left="0" w:right="0" w:firstLine="660"/>
        <w:jc w:val="both"/>
      </w:pPr>
      <w:r>
        <w:rPr>
          <w:rStyle w:val="CharStyle7"/>
        </w:rPr>
        <w:t>Бромистого этидия, производства Биолабмикс, страна происхождения: Российская Федерация.</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123"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при этом указанные в описании объекта закупки требования к техническим характеристикам, в полной мере,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68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3"/>
        </w:numPr>
        <w:shd w:val="clear" w:color="auto" w:fill="auto"/>
        <w:tabs>
          <w:tab w:pos="1421"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 Постановление Правительства Российской Федерации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N 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5"/>
        </w:numPr>
        <w:shd w:val="clear" w:color="auto" w:fill="auto"/>
        <w:tabs>
          <w:tab w:pos="1426" w:val="left"/>
        </w:tabs>
        <w:bidi w:val="0"/>
        <w:spacing w:before="0" w:after="0" w:line="240" w:lineRule="auto"/>
        <w:ind w:left="0" w:right="0" w:firstLine="68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соответствии с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абз. </w:t>
      </w:r>
      <w:r>
        <w:rPr>
          <w:rStyle w:val="CharStyle7"/>
          <w:lang w:val="en-US" w:eastAsia="en-US"/>
        </w:rPr>
        <w:t xml:space="preserve">6 </w:t>
      </w:r>
      <w:r>
        <w:rPr>
          <w:rStyle w:val="CharStyle7"/>
        </w:rPr>
        <w:t xml:space="preserve">пп. «а» п.7 Постановления </w:t>
      </w:r>
      <w:r>
        <w:rPr>
          <w:rStyle w:val="CharStyle7"/>
          <w:lang w:val="en-US" w:eastAsia="en-US"/>
        </w:rPr>
        <w:t xml:space="preserve">№1875 </w:t>
      </w:r>
      <w:r>
        <w:rPr>
          <w:rStyle w:val="CharStyle7"/>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Постановлению </w:t>
      </w:r>
      <w:r>
        <w:rPr>
          <w:rStyle w:val="CharStyle7"/>
          <w:lang w:val="en-US" w:eastAsia="en-US"/>
        </w:rPr>
        <w:t xml:space="preserve">№1875, </w:t>
      </w:r>
      <w:r>
        <w:rPr>
          <w:rStyle w:val="CharStyle7"/>
        </w:rPr>
        <w:t xml:space="preserve">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Резюмируя вышеизложенное, при буквальном толковании вышеуказанных положения возможно сделать однозначный вывод, что ограничения, предусмотренные положениями ст. </w:t>
      </w:r>
      <w:r>
        <w:rPr>
          <w:rStyle w:val="CharStyle7"/>
          <w:lang w:val="en-US" w:eastAsia="en-US"/>
        </w:rPr>
        <w:t xml:space="preserve">14 </w:t>
      </w:r>
      <w:r>
        <w:rPr>
          <w:rStyle w:val="CharStyle7"/>
        </w:rPr>
        <w:t xml:space="preserve">Закона о контрактной системе и детализированные в Постановлении </w:t>
      </w:r>
      <w:r>
        <w:rPr>
          <w:rStyle w:val="CharStyle7"/>
          <w:lang w:val="en-US" w:eastAsia="en-US"/>
        </w:rPr>
        <w:t xml:space="preserve">№1875, </w:t>
      </w:r>
      <w:r>
        <w:rPr>
          <w:rStyle w:val="CharStyle7"/>
        </w:rPr>
        <w:t>направлены на реализацию принципа национального режима, заключающегося в предоставлении преимуществ товарам российского происхождения, посредством установления условий допуска, не носящих характер абсолютного запрета на участие иностранных товаров.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Требования ч.1.1 ст.33 Закона контрактной системе подлежат реализации в случае установления предусмотренных п.1 ч.2 ст.14 Закона о контрактной системе запрета, ограничения или преимущества в отношении закупаемого товара, а также в случае наличия производства на территории Российской Федерации соответствующего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согласно извещению об осуществлении закупки, в отношении закупаемых товаров Заказчиком установлено преимущество в отношении товаров российского происхождения, выполняемых работ, оказываемых услуг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Как установлено на заседании Комиссии Управления ранее под описание объекта закупки по п.1-3 не подходят товары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считает необходимым отметить,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Однако в соответствии с абз. </w:t>
      </w:r>
      <w:r>
        <w:rPr>
          <w:rStyle w:val="CharStyle7"/>
          <w:lang w:val="en-US" w:eastAsia="en-US"/>
        </w:rPr>
        <w:t xml:space="preserve">6 </w:t>
      </w:r>
      <w:r>
        <w:rPr>
          <w:rStyle w:val="CharStyle7"/>
        </w:rPr>
        <w:t xml:space="preserve">пп. «а» п.7 Постановления </w:t>
      </w:r>
      <w:r>
        <w:rPr>
          <w:rStyle w:val="CharStyle7"/>
          <w:lang w:val="en-US" w:eastAsia="en-US"/>
        </w:rPr>
        <w:t xml:space="preserve">№1875 </w:t>
      </w:r>
      <w:r>
        <w:rPr>
          <w:rStyle w:val="CharStyle7"/>
        </w:rPr>
        <w:t xml:space="preserve">при формировании извещения Заказчиком размещается декларация </w:t>
      </w:r>
      <w:r>
        <w:rPr>
          <w:rStyle w:val="CharStyle7"/>
          <w:b/>
          <w:bCs/>
          <w:i/>
          <w:iCs/>
        </w:rPr>
        <w:t>факта отсутствия на территории Российской Федерации производства такого товара с характеристиками</w:t>
      </w:r>
      <w:r>
        <w:rPr>
          <w:rStyle w:val="CharStyle7"/>
        </w:rPr>
        <w:t>, соответствующими потребности заказчика, а также указание в описании объекта закупки характеристик товара, потребность в котором</w:t>
      </w:r>
    </w:p>
    <w:p>
      <w:pPr>
        <w:pStyle w:val="Style6"/>
        <w:keepNext w:val="0"/>
        <w:keepLines w:val="0"/>
        <w:widowControl w:val="0"/>
        <w:shd w:val="clear" w:color="auto" w:fill="auto"/>
        <w:bidi w:val="0"/>
        <w:spacing w:before="0" w:after="0" w:line="240" w:lineRule="auto"/>
        <w:ind w:left="0" w:right="0" w:firstLine="0"/>
        <w:jc w:val="both"/>
      </w:pPr>
      <w:r>
        <w:rPr>
          <w:rStyle w:val="CharStyle7"/>
        </w:rPr>
        <w:t>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тем данное положение Постановления </w:t>
      </w:r>
      <w:r>
        <w:rPr>
          <w:rStyle w:val="CharStyle7"/>
          <w:lang w:val="en-US" w:eastAsia="en-US"/>
        </w:rPr>
        <w:t xml:space="preserve">№1875 </w:t>
      </w:r>
      <w:r>
        <w:rPr>
          <w:rStyle w:val="CharStyle7"/>
        </w:rPr>
        <w:t>о приобретение товара, производства которого на территории Российской Федерации, Заказчиком не реализовано, поскольку в составе извещения отсутствует декларация факта отсутствия на территории Российской Федерации производства товара с характеристиками, соответствующими потребности Заказчика, в реестре российской промышленной продукции.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Исходя из вышеизложенного, Комиссия Управления приходит к выводу о нарушении Заказчиком ч.1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согласно протоколу подведения итогов определения поставщика (подрядчика, исполнителя) от </w:t>
      </w:r>
      <w:r>
        <w:rPr>
          <w:rStyle w:val="CharStyle7"/>
          <w:lang w:val="en-US" w:eastAsia="en-US"/>
        </w:rPr>
        <w:t xml:space="preserve">12.05.2026 </w:t>
      </w:r>
      <w:r>
        <w:rPr>
          <w:rStyle w:val="CharStyle7"/>
        </w:rPr>
        <w:t xml:space="preserve">№ИЭА1, на участие в закупке подано </w:t>
      </w:r>
      <w:r>
        <w:rPr>
          <w:rStyle w:val="CharStyle7"/>
          <w:lang w:val="en-US" w:eastAsia="en-US"/>
        </w:rPr>
        <w:t xml:space="preserve">2 </w:t>
      </w:r>
      <w:r>
        <w:rPr>
          <w:rStyle w:val="CharStyle7"/>
        </w:rPr>
        <w:t>заявки, при этом заявки участников закупки признаны соответствующими требованиям извещения.</w:t>
      </w:r>
    </w:p>
    <w:p>
      <w:pPr>
        <w:pStyle w:val="Style6"/>
        <w:keepNext w:val="0"/>
        <w:keepLines w:val="0"/>
        <w:widowControl w:val="0"/>
        <w:numPr>
          <w:ilvl w:val="0"/>
          <w:numId w:val="17"/>
        </w:numPr>
        <w:shd w:val="clear" w:color="auto" w:fill="auto"/>
        <w:tabs>
          <w:tab w:pos="980" w:val="left"/>
        </w:tabs>
        <w:bidi w:val="0"/>
        <w:spacing w:before="0" w:after="0" w:line="240" w:lineRule="auto"/>
        <w:ind w:left="0" w:right="0" w:firstLine="68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062" w:val="left"/>
        </w:tabs>
        <w:bidi w:val="0"/>
        <w:spacing w:before="0" w:after="0" w:line="240" w:lineRule="auto"/>
        <w:ind w:left="0" w:right="0" w:firstLine="68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68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084"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7"/>
        </w:numPr>
        <w:shd w:val="clear" w:color="auto" w:fill="auto"/>
        <w:tabs>
          <w:tab w:pos="1127"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2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w:t>
      </w:r>
    </w:p>
    <w:p>
      <w:pPr>
        <w:pStyle w:val="Style6"/>
        <w:keepNext w:val="0"/>
        <w:keepLines w:val="0"/>
        <w:widowControl w:val="0"/>
        <w:shd w:val="clear" w:color="auto" w:fill="auto"/>
        <w:bidi w:val="0"/>
        <w:spacing w:before="0" w:after="0" w:line="240" w:lineRule="auto"/>
        <w:ind w:left="0" w:right="0" w:firstLine="0"/>
        <w:jc w:val="both"/>
      </w:pPr>
      <w:r>
        <w:rPr>
          <w:rStyle w:val="CharStyle7"/>
        </w:rPr>
        <w:t>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r>
        <w:br w:type="page"/>
      </w:r>
    </w:p>
    <w:p>
      <w:pPr>
        <w:pStyle w:val="Style6"/>
        <w:keepNext w:val="0"/>
        <w:keepLines w:val="0"/>
        <w:widowControl w:val="0"/>
        <w:shd w:val="clear" w:color="auto" w:fill="auto"/>
        <w:bidi w:val="0"/>
        <w:spacing w:before="0" w:after="280" w:line="240" w:lineRule="auto"/>
        <w:ind w:left="0" w:right="0" w:firstLine="72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1"/>
        </w:numPr>
        <w:shd w:val="clear" w:color="auto" w:fill="auto"/>
        <w:tabs>
          <w:tab w:pos="1011"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обоснованной в части неправомерного описания объекта закупки.</w:t>
      </w:r>
    </w:p>
    <w:p>
      <w:pPr>
        <w:pStyle w:val="Style6"/>
        <w:keepNext w:val="0"/>
        <w:keepLines w:val="0"/>
        <w:widowControl w:val="0"/>
        <w:numPr>
          <w:ilvl w:val="0"/>
          <w:numId w:val="21"/>
        </w:numPr>
        <w:shd w:val="clear" w:color="auto" w:fill="auto"/>
        <w:tabs>
          <w:tab w:pos="1098" w:val="left"/>
        </w:tabs>
        <w:bidi w:val="0"/>
        <w:spacing w:before="0" w:after="0" w:line="240" w:lineRule="auto"/>
        <w:ind w:left="0" w:right="0" w:firstLine="720"/>
        <w:jc w:val="both"/>
      </w:pPr>
      <w:r>
        <w:rPr>
          <w:rStyle w:val="CharStyle7"/>
          <w:lang w:val="en-US" w:eastAsia="en-US"/>
        </w:rPr>
        <w:t xml:space="preserve">. </w:t>
      </w:r>
      <w:r>
        <w:rPr>
          <w:rStyle w:val="CharStyle7"/>
        </w:rPr>
        <w:t>Признать в действиях Заказчика нарушение ч.1 ст.14, п.15 ч.1 ст.42 Закона о контрактной системе.</w:t>
      </w:r>
    </w:p>
    <w:p>
      <w:pPr>
        <w:pStyle w:val="Style6"/>
        <w:keepNext w:val="0"/>
        <w:keepLines w:val="0"/>
        <w:widowControl w:val="0"/>
        <w:numPr>
          <w:ilvl w:val="0"/>
          <w:numId w:val="21"/>
        </w:numPr>
        <w:shd w:val="clear" w:color="auto" w:fill="auto"/>
        <w:tabs>
          <w:tab w:pos="1021" w:val="left"/>
        </w:tabs>
        <w:bidi w:val="0"/>
        <w:spacing w:before="0" w:after="0" w:line="240" w:lineRule="auto"/>
        <w:ind w:left="0" w:right="0" w:firstLine="72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21"/>
        </w:numPr>
        <w:shd w:val="clear" w:color="auto" w:fill="auto"/>
        <w:tabs>
          <w:tab w:pos="973" w:val="left"/>
        </w:tabs>
        <w:bidi w:val="0"/>
        <w:spacing w:before="0" w:after="28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38" w:right="539" w:bottom="1072" w:left="1099" w:header="0" w:footer="3" w:gutter="0"/>
          <w:cols w:space="720"/>
          <w:noEndnote/>
          <w:rtlGutter w:val="0"/>
          <w:docGrid w:linePitch="360"/>
        </w:sectPr>
      </w:pPr>
      <w:r>
        <mc:AlternateContent>
          <mc:Choice Requires="wps">
            <w:drawing>
              <wp:anchor distT="127000" distB="167640" distL="0" distR="0" simplePos="0" relativeHeight="125829382" behindDoc="0" locked="0" layoutInCell="1" allowOverlap="1">
                <wp:simplePos x="0" y="0"/>
                <wp:positionH relativeFrom="page">
                  <wp:posOffset>734060</wp:posOffset>
                </wp:positionH>
                <wp:positionV relativeFrom="paragraph">
                  <wp:posOffset>127000</wp:posOffset>
                </wp:positionV>
                <wp:extent cx="1844040" cy="252730"/>
                <wp:wrapTopAndBottom/>
                <wp:docPr id="19" name="Shape 1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800000000000004pt;margin-top:10.pt;width:145.20000000000002pt;height:19.900000000000002pt;z-index:-125829371;mso-wrap-distance-left:0;mso-wrap-distance-top:10.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mc:AlternateContent>
          <mc:Choice Requires="wps">
            <w:drawing>
              <wp:anchor distT="288290" distB="0" distL="0" distR="0" simplePos="0" relativeHeight="125829384" behindDoc="0" locked="0" layoutInCell="1" allowOverlap="1">
                <wp:simplePos x="0" y="0"/>
                <wp:positionH relativeFrom="page">
                  <wp:posOffset>3522980</wp:posOffset>
                </wp:positionH>
                <wp:positionV relativeFrom="paragraph">
                  <wp:posOffset>288290</wp:posOffset>
                </wp:positionV>
                <wp:extent cx="1722120" cy="259080"/>
                <wp:wrapTopAndBottom/>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40000000000003pt;margin-top:22.699999999999999pt;width:135.59999999999999pt;height:20.400000000000002pt;z-index:-125829369;mso-wrap-distance-left:0;mso-wrap-distance-top:22.699999999999999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6" behindDoc="0" locked="0" layoutInCell="1" allowOverlap="1">
                <wp:simplePos x="0" y="0"/>
                <wp:positionH relativeFrom="page">
                  <wp:posOffset>5909310</wp:posOffset>
                </wp:positionH>
                <wp:positionV relativeFrom="paragraph">
                  <wp:posOffset>127000</wp:posOffset>
                </wp:positionV>
                <wp:extent cx="1304290" cy="252730"/>
                <wp:wrapTopAndBottom/>
                <wp:docPr id="23" name="Shape 23"/>
                <a:graphic xmlns:a="http://schemas.openxmlformats.org/drawingml/2006/main">
                  <a:graphicData uri="http://schemas.microsoft.com/office/word/2010/wordprocessingShape">
                    <wps:wsp>
                      <wps:cNvSpPr txBox="1"/>
                      <wps:spPr>
                        <a:xfrm>
                          <a:ext cx="13042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49" type="#_x0000_t202" style="position:absolute;margin-left:465.30000000000001pt;margin-top:10.pt;width:102.7pt;height:19.900000000000002pt;z-index:-125829367;mso-wrap-distance-left:0;mso-wrap-distance-top:10.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071"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w:t>
      </w:r>
      <w:r>
        <w:rPr>
          <w:rStyle w:val="CharStyle18"/>
          <w:color w:val="565656"/>
        </w:rPr>
        <w:t xml:space="preserve">выдан: </w:t>
      </w:r>
      <w:r>
        <w:rPr>
          <w:rStyle w:val="CharStyle18"/>
          <w:color w:val="000000"/>
        </w:rPr>
        <w:t>МАРТЬЯНОВА ЕЛЕНА ДМИТРИЕВНА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00EA3D636CED58A70F15417FA130B2F6C</w:t>
      </w:r>
      <w:r>
        <w:rPr>
          <w:rStyle w:val="CharStyle18"/>
          <w:lang w:val="en-US" w:eastAsia="en-US"/>
        </w:rPr>
        <w:t>B</w:t>
      </w:r>
    </w:p>
    <w:p>
      <w:pPr>
        <w:pStyle w:val="Style17"/>
        <w:keepNext w:val="0"/>
        <w:keepLines w:val="0"/>
        <w:widowControl w:val="0"/>
        <w:shd w:val="clear" w:color="auto" w:fill="auto"/>
        <w:bidi w:val="0"/>
        <w:spacing w:before="0" w:after="580" w:line="240" w:lineRule="auto"/>
        <w:ind w:right="0" w:firstLine="0"/>
        <w:jc w:val="left"/>
      </w:pPr>
      <w:r>
        <w:rPr>
          <w:rStyle w:val="CharStyle18"/>
        </w:rPr>
        <w:t xml:space="preserve">Действителен с </w:t>
      </w:r>
      <w:r>
        <w:rPr>
          <w:rStyle w:val="CharStyle18"/>
          <w:color w:val="565656"/>
        </w:rPr>
        <w:t>20.04.2026 по 14.07.2027</w:t>
      </w:r>
    </w:p>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p>
      <w:pPr>
        <w:widowControl w:val="0"/>
        <w:spacing w:line="1" w:lineRule="exact"/>
        <w:sectPr>
          <w:footnotePr>
            <w:pos w:val="pageBottom"/>
            <w:numFmt w:val="decimal"/>
            <w:numRestart w:val="continuous"/>
          </w:footnotePr>
          <w:type w:val="continuous"/>
          <w:pgSz w:w="11900" w:h="16840"/>
          <w:pgMar w:top="1162" w:right="532" w:bottom="1071" w:left="1106" w:header="0" w:footer="3" w:gutter="0"/>
          <w:cols w:space="720"/>
          <w:noEndnote/>
          <w:rtlGutter w:val="0"/>
          <w:docGrid w:linePitch="360"/>
        </w:sectPr>
      </w:pPr>
      <w:r>
        <mc:AlternateContent>
          <mc:Choice Requires="wps">
            <w:drawing>
              <wp:anchor distT="161290" distB="0" distL="0" distR="0" simplePos="0" relativeHeight="125829388" behindDoc="0" locked="0" layoutInCell="1" allowOverlap="1">
                <wp:simplePos x="0" y="0"/>
                <wp:positionH relativeFrom="page">
                  <wp:posOffset>3522980</wp:posOffset>
                </wp:positionH>
                <wp:positionV relativeFrom="paragraph">
                  <wp:posOffset>161290</wp:posOffset>
                </wp:positionV>
                <wp:extent cx="1722120" cy="259080"/>
                <wp:wrapTopAndBottom/>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40000000000003pt;margin-top:12.700000000000001pt;width:135.59999999999999pt;height:20.400000000000002pt;z-index:-125829365;mso-wrap-distance-left:0;mso-wrap-distance-top:12.700000000000001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90" behindDoc="0" locked="0" layoutInCell="1" allowOverlap="1">
                <wp:simplePos x="0" y="0"/>
                <wp:positionH relativeFrom="page">
                  <wp:posOffset>5869940</wp:posOffset>
                </wp:positionH>
                <wp:positionV relativeFrom="paragraph">
                  <wp:posOffset>0</wp:posOffset>
                </wp:positionV>
                <wp:extent cx="1341120" cy="252730"/>
                <wp:wrapTopAndBottom/>
                <wp:docPr id="27" name="Shape 27"/>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wps:txbx>
                      <wps:bodyPr wrap="none" lIns="0" tIns="0" rIns="0" bIns="0">
                        <a:noAutoFit/>
                      </wps:bodyPr>
                    </wps:wsp>
                  </a:graphicData>
                </a:graphic>
              </wp:anchor>
            </w:drawing>
          </mc:Choice>
          <mc:Fallback>
            <w:pict>
              <v:shape id="_x0000_s1053" type="#_x0000_t202" style="position:absolute;margin-left:462.19999999999999pt;margin-top:0;width:105.60000000000001pt;height:19.900000000000002pt;z-index:-125829363;mso-wrap-distance-left:0;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v:textbox>
                <w10:wrap type="topAndBottom" anchorx="page"/>
              </v:shape>
            </w:pict>
          </mc:Fallback>
        </mc:AlternateContent>
      </w:r>
    </w:p>
    <w:p>
      <w:pPr>
        <w:widowControl w:val="0"/>
        <w:spacing w:line="183" w:lineRule="exact"/>
        <w:rPr>
          <w:sz w:val="15"/>
          <w:szCs w:val="15"/>
        </w:rPr>
      </w:pPr>
    </w:p>
    <w:p>
      <w:pPr>
        <w:widowControl w:val="0"/>
        <w:spacing w:line="1" w:lineRule="exact"/>
        <w:sectPr>
          <w:footnotePr>
            <w:pos w:val="pageBottom"/>
            <w:numFmt w:val="decimal"/>
            <w:numRestart w:val="continuous"/>
          </w:footnotePr>
          <w:type w:val="continuous"/>
          <w:pgSz w:w="11900" w:h="16840"/>
          <w:pgMar w:top="1162" w:right="0" w:bottom="1071" w:left="0" w:header="0" w:footer="3" w:gutter="0"/>
          <w:cols w:space="720"/>
          <w:noEndnote/>
          <w:rtlGutter w:val="0"/>
          <w:docGrid w:linePitch="360"/>
        </w:sectPr>
      </w:pPr>
    </w:p>
    <w:p>
      <w:pPr>
        <w:pStyle w:val="Style17"/>
        <w:keepNext w:val="0"/>
        <w:keepLines w:val="0"/>
        <w:widowControl w:val="0"/>
        <w:shd w:val="clear" w:color="auto" w:fill="auto"/>
        <w:bidi w:val="0"/>
        <w:spacing w:before="0" w:after="0" w:line="266" w:lineRule="auto"/>
        <w:ind w:right="0" w:firstLine="0"/>
        <w:jc w:val="left"/>
      </w:pPr>
      <w:r>
        <w:rPr>
          <w:rStyle w:val="CharStyle18"/>
        </w:rPr>
        <w:t xml:space="preserve">Кому выдан: </w:t>
      </w:r>
      <w:r>
        <w:rPr>
          <w:rStyle w:val="CharStyle18"/>
          <w:color w:val="000000"/>
        </w:rPr>
        <w:t>Матюшенко Александр Александрович</w:t>
      </w:r>
      <w:r>
        <w:rPr>
          <w:rStyle w:val="CharStyle18"/>
          <w:color w:val="000000"/>
        </w:rPr>
        <w:t xml:space="preserve"> </w:t>
      </w:r>
      <w:r>
        <w:rPr>
          <w:rStyle w:val="CharStyle18"/>
        </w:rPr>
        <w:t xml:space="preserve">Сертификат </w:t>
      </w:r>
      <w:r>
        <w:rPr>
          <w:rStyle w:val="CharStyle18"/>
          <w:color w:val="292929"/>
        </w:rPr>
        <w:t xml:space="preserve">№ </w:t>
      </w:r>
      <w:r>
        <w:rPr>
          <w:rStyle w:val="CharStyle18"/>
          <w:lang w:val="en-US" w:eastAsia="en-US"/>
        </w:rPr>
        <w:t>4F595A5C3E5ABB2DD77161F08559FC07</w:t>
      </w:r>
    </w:p>
    <w:p>
      <w:pPr>
        <w:pStyle w:val="Style17"/>
        <w:keepNext w:val="0"/>
        <w:keepLines w:val="0"/>
        <w:widowControl w:val="0"/>
        <w:shd w:val="clear" w:color="auto" w:fill="auto"/>
        <w:bidi w:val="0"/>
        <w:spacing w:before="0" w:after="0" w:line="266" w:lineRule="auto"/>
        <w:ind w:right="0" w:firstLine="0"/>
        <w:jc w:val="both"/>
      </w:pPr>
      <w:r>
        <w:rPr>
          <w:rStyle w:val="CharStyle18"/>
        </w:rPr>
        <w:t xml:space="preserve">Действителен с 22.07.2025 </w:t>
      </w:r>
      <w:r>
        <w:rPr>
          <w:rStyle w:val="CharStyle18"/>
          <w:color w:val="565656"/>
        </w:rPr>
        <w:t xml:space="preserve">по </w:t>
      </w:r>
      <w:r>
        <w:rPr>
          <w:rStyle w:val="CharStyle18"/>
        </w:rPr>
        <w:t>15.10.2026</w:t>
      </w:r>
    </w:p>
    <w:p>
      <w:pPr>
        <w:widowControl w:val="0"/>
        <w:spacing w:line="1" w:lineRule="exact"/>
        <w:sectPr>
          <w:footnotePr>
            <w:pos w:val="pageBottom"/>
            <w:numFmt w:val="decimal"/>
            <w:numRestart w:val="continuous"/>
          </w:footnotePr>
          <w:type w:val="continuous"/>
          <w:pgSz w:w="11900" w:h="16840"/>
          <w:pgMar w:top="1162" w:right="532" w:bottom="1071" w:left="1106" w:header="0" w:footer="3" w:gutter="0"/>
          <w:cols w:space="720"/>
          <w:noEndnote/>
          <w:rtlGutter w:val="0"/>
          <w:docGrid w:linePitch="360"/>
        </w:sectPr>
      </w:pPr>
      <w:r>
        <mc:AlternateContent>
          <mc:Choice Requires="wps">
            <w:drawing>
              <wp:anchor distT="438150" distB="0" distL="0" distR="0" simplePos="0" relativeHeight="125829392" behindDoc="0" locked="0" layoutInCell="1" allowOverlap="1">
                <wp:simplePos x="0" y="0"/>
                <wp:positionH relativeFrom="page">
                  <wp:posOffset>3520440</wp:posOffset>
                </wp:positionH>
                <wp:positionV relativeFrom="paragraph">
                  <wp:posOffset>438150</wp:posOffset>
                </wp:positionV>
                <wp:extent cx="1725295" cy="259080"/>
                <wp:wrapTopAndBottom/>
                <wp:docPr id="29" name="Shape 2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19999999999999pt;margin-top:34.5pt;width:135.84999999999999pt;height:20.400000000000002pt;z-index:-125829361;mso-wrap-distance-left:0;mso-wrap-distance-top:34.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4" behindDoc="0" locked="0" layoutInCell="1" allowOverlap="1">
                <wp:simplePos x="0" y="0"/>
                <wp:positionH relativeFrom="page">
                  <wp:posOffset>6160135</wp:posOffset>
                </wp:positionH>
                <wp:positionV relativeFrom="paragraph">
                  <wp:posOffset>279400</wp:posOffset>
                </wp:positionV>
                <wp:extent cx="1054735" cy="250190"/>
                <wp:wrapTopAndBottom/>
                <wp:docPr id="31" name="Shape 31"/>
                <a:graphic xmlns:a="http://schemas.openxmlformats.org/drawingml/2006/main">
                  <a:graphicData uri="http://schemas.microsoft.com/office/word/2010/wordprocessingShape">
                    <wps:wsp>
                      <wps:cNvSpPr txBox="1"/>
                      <wps:spPr>
                        <a:xfrm>
                          <a:ext cx="105473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Леонова</w:t>
                            </w:r>
                          </w:p>
                        </w:txbxContent>
                      </wps:txbx>
                      <wps:bodyPr wrap="none" lIns="0" tIns="0" rIns="0" bIns="0">
                        <a:noAutoFit/>
                      </wps:bodyPr>
                    </wps:wsp>
                  </a:graphicData>
                </a:graphic>
              </wp:anchor>
            </w:drawing>
          </mc:Choice>
          <mc:Fallback>
            <w:pict>
              <v:shape id="_x0000_s1057" type="#_x0000_t202" style="position:absolute;margin-left:485.05000000000001pt;margin-top:22.pt;width:83.049999999999997pt;height:19.699999999999999pt;z-index:-125829359;mso-wrap-distance-left:0;mso-wrap-distance-top:22.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Леонова</w:t>
                      </w:r>
                    </w:p>
                  </w:txbxContent>
                </v:textbox>
                <w10:wrap type="topAndBottom" anchorx="page"/>
              </v:shape>
            </w:pict>
          </mc:Fallback>
        </mc:AlternateContent>
      </w: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071"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rStyle w:val="CharStyle18"/>
        </w:rPr>
        <w:t xml:space="preserve">Кому выдан: </w:t>
      </w:r>
      <w:r>
        <w:rPr>
          <w:rStyle w:val="CharStyle18"/>
          <w:color w:val="000000"/>
        </w:rPr>
        <w:t>Леонова Алена Альбертовна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276EF4D805B62E966E204BCBEB72461C</w:t>
      </w:r>
    </w:p>
    <w:p>
      <w:pPr>
        <w:pStyle w:val="Style17"/>
        <w:keepNext w:val="0"/>
        <w:keepLines w:val="0"/>
        <w:widowControl w:val="0"/>
        <w:shd w:val="clear" w:color="auto" w:fill="auto"/>
        <w:bidi w:val="0"/>
        <w:spacing w:before="0" w:after="800" w:line="240" w:lineRule="auto"/>
        <w:ind w:right="0" w:firstLine="0"/>
        <w:jc w:val="left"/>
      </w:pPr>
      <w:r>
        <w:rPr>
          <w:rStyle w:val="CharStyle18"/>
        </w:rPr>
        <w:t xml:space="preserve">Действителен с 05.12.2025 </w:t>
      </w:r>
      <w:r>
        <w:rPr>
          <w:rStyle w:val="CharStyle18"/>
          <w:color w:val="565656"/>
        </w:rPr>
        <w:t xml:space="preserve">по </w:t>
      </w:r>
      <w:r>
        <w:rPr>
          <w:rStyle w:val="CharStyle18"/>
        </w:rPr>
        <w:t>28.02.2027</w:t>
      </w:r>
    </w:p>
    <w:p>
      <w:pPr>
        <w:pStyle w:val="Style22"/>
        <w:keepNext w:val="0"/>
        <w:keepLines w:val="0"/>
        <w:widowControl w:val="0"/>
        <w:shd w:val="clear" w:color="auto" w:fill="auto"/>
        <w:bidi w:val="0"/>
        <w:spacing w:before="0" w:after="0" w:line="240" w:lineRule="auto"/>
        <w:ind w:left="0" w:right="0" w:firstLine="0"/>
        <w:jc w:val="left"/>
      </w:pPr>
      <w:r>
        <w:rPr>
          <w:rStyle w:val="CharStyle23"/>
        </w:rPr>
        <w:t>Исп.Леонова А.А.</w:t>
      </w:r>
    </w:p>
    <w:p>
      <w:pPr>
        <w:pStyle w:val="Style22"/>
        <w:keepNext w:val="0"/>
        <w:keepLines w:val="0"/>
        <w:widowControl w:val="0"/>
        <w:shd w:val="clear" w:color="auto" w:fill="auto"/>
        <w:bidi w:val="0"/>
        <w:spacing w:before="0" w:after="400" w:line="240" w:lineRule="auto"/>
        <w:ind w:left="0" w:right="0" w:firstLine="0"/>
        <w:jc w:val="left"/>
      </w:pPr>
      <w:r>
        <w:rPr>
          <w:rStyle w:val="CharStyle23"/>
        </w:rPr>
        <w:t>тел.(495) 784-75-05</w:t>
      </w:r>
    </w:p>
    <w:sectPr>
      <w:footnotePr>
        <w:pos w:val="pageBottom"/>
        <w:numFmt w:val="decimal"/>
        <w:numRestart w:val="continuous"/>
      </w:footnotePr>
      <w:type w:val="continuous"/>
      <w:pgSz w:w="11900" w:h="16840"/>
      <w:pgMar w:top="1162" w:right="532" w:bottom="10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10165715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2026-24905</w:t>
                          </w:r>
                        </w:p>
                      </w:txbxContent>
                    </wps:txbx>
                    <wps:bodyPr wrap="none" lIns="0" tIns="0" rIns="0" bIns="0">
                      <a:spAutoFit/>
                    </wps:bodyPr>
                  </wps:wsp>
                </a:graphicData>
              </a:graphic>
            </wp:anchor>
          </w:drawing>
        </mc:Choice>
        <mc:Fallback>
          <w:pict>
            <v:shape id="_x0000_s1035" type="#_x0000_t202" style="position:absolute;margin-left:56.850000000000001pt;margin-top:800.45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10235565</wp:posOffset>
              </wp:positionV>
              <wp:extent cx="731520" cy="125095"/>
              <wp:wrapNone/>
              <wp:docPr id="11" name="Shape 11"/>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2026-24905</w:t>
                          </w:r>
                        </w:p>
                      </w:txbxContent>
                    </wps:txbx>
                    <wps:bodyPr wrap="none" lIns="0" tIns="0" rIns="0" bIns="0">
                      <a:spAutoFit/>
                    </wps:bodyPr>
                  </wps:wsp>
                </a:graphicData>
              </a:graphic>
            </wp:anchor>
          </w:drawing>
        </mc:Choice>
        <mc:Fallback>
          <w:pict>
            <v:shape id="_x0000_s1037" type="#_x0000_t202" style="position:absolute;margin-left:56.899999999999999pt;margin-top:805.95000000000005pt;width:57.6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2026-24905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10165715</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2026-24905</w:t>
                          </w:r>
                        </w:p>
                      </w:txbxContent>
                    </wps:txbx>
                    <wps:bodyPr wrap="none" lIns="0" tIns="0" rIns="0" bIns="0">
                      <a:spAutoFit/>
                    </wps:bodyPr>
                  </wps:wsp>
                </a:graphicData>
              </a:graphic>
            </wp:anchor>
          </w:drawing>
        </mc:Choice>
        <mc:Fallback>
          <w:pict>
            <v:shape id="_x0000_s1043" type="#_x0000_t202" style="position:absolute;margin-left:56.850000000000001pt;margin-top:800.45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2026-24905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3879850</wp:posOffset>
              </wp:positionH>
              <wp:positionV relativeFrom="page">
                <wp:posOffset>472440</wp:posOffset>
              </wp:positionV>
              <wp:extent cx="130810" cy="69850"/>
              <wp:wrapNone/>
              <wp:docPr id="7" name="Shape 7"/>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5.5pt;margin-top:37.200000000000003pt;width:10.300000000000001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381635</wp:posOffset>
              </wp:positionV>
              <wp:extent cx="73025" cy="121920"/>
              <wp:wrapNone/>
              <wp:docPr id="13" name="Shape 13"/>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25pt;margin-top:30.050000000000001pt;width:5.75pt;height:9.5999999999999996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3879850</wp:posOffset>
              </wp:positionH>
              <wp:positionV relativeFrom="page">
                <wp:posOffset>472440</wp:posOffset>
              </wp:positionV>
              <wp:extent cx="130810" cy="69850"/>
              <wp:wrapNone/>
              <wp:docPr id="15" name="Shape 15"/>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5.5pt;margin-top:37.200000000000003pt;width:10.300000000000001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Body text (3)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24242"/>
      <w:sz w:val="12"/>
      <w:szCs w:val="12"/>
      <w:u w:val="none"/>
    </w:rPr>
  </w:style>
  <w:style w:type="character" w:customStyle="1" w:styleId="CharStyle23">
    <w:name w:val="Body text (5)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4)"/>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Body text (3)"/>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2)"/>
    <w:basedOn w:val="Normal"/>
    <w:link w:val="CharStyle18"/>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2">
    <w:name w:val="Body text (5)"/>
    <w:basedOn w:val="Normal"/>
    <w:link w:val="CharStyle23"/>
    <w:pPr>
      <w:widowControl w:val="0"/>
      <w:shd w:val="clear" w:color="auto" w:fill="auto"/>
      <w:spacing w:after="2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