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743200" cy="32854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4320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1570990</wp:posOffset>
                </wp:positionH>
                <wp:positionV relativeFrom="paragraph">
                  <wp:posOffset>728980</wp:posOffset>
                </wp:positionV>
                <wp:extent cx="895985" cy="1403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6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3.7pt;margin-top:57.399999999999999pt;width:70.549999999999997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6"/>
                          <w:sz w:val="17"/>
                          <w:szCs w:val="17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878205</wp:posOffset>
                </wp:positionV>
                <wp:extent cx="1840865" cy="1371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6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150000000000006pt;margin-top:69.150000000000006pt;width:144.95000000000002pt;height:10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6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1235710</wp:posOffset>
                </wp:positionH>
                <wp:positionV relativeFrom="paragraph">
                  <wp:posOffset>1682750</wp:posOffset>
                </wp:positionV>
                <wp:extent cx="1615440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54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6"/>
                                <w:sz w:val="16"/>
                                <w:szCs w:val="16"/>
                              </w:rPr>
                              <w:t>ул. Лермонтова, 14, г. Чита, 672076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7.299999999999997pt;margin-top:132.5pt;width:127.2pt;height:10.5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6"/>
                          <w:sz w:val="16"/>
                          <w:szCs w:val="16"/>
                        </w:rPr>
                        <w:t>ул. Лермонтова, 14, г. Чита, 672076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1122680</wp:posOffset>
                </wp:positionH>
                <wp:positionV relativeFrom="paragraph">
                  <wp:posOffset>1819910</wp:posOffset>
                </wp:positionV>
                <wp:extent cx="1831975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197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6"/>
                                <w:sz w:val="16"/>
                                <w:szCs w:val="16"/>
                              </w:rPr>
                              <w:t>почтовый адрес: а/я 803, г. Чита, 672000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8.400000000000006pt;margin-top:143.30000000000001pt;width:144.25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6"/>
                          <w:sz w:val="16"/>
                          <w:szCs w:val="16"/>
                        </w:rPr>
                        <w:t>почтовый адрес: а/я 803, г. Чита, 672000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1957070</wp:posOffset>
                </wp:positionV>
                <wp:extent cx="1929130" cy="13716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91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6"/>
                                <w:sz w:val="16"/>
                                <w:szCs w:val="16"/>
                              </w:rPr>
                              <w:t>тел. (3022) 21-70-30, факс (3022) 32-12-31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4.549999999999997pt;margin-top:154.09999999999999pt;width:151.90000000000001pt;height:10.80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6"/>
                          <w:sz w:val="16"/>
                          <w:szCs w:val="16"/>
                        </w:rPr>
                        <w:t>тел. (3022) 21-70-30, факс (3022) 32-12-31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1510030</wp:posOffset>
                </wp:positionH>
                <wp:positionV relativeFrom="paragraph">
                  <wp:posOffset>2082165</wp:posOffset>
                </wp:positionV>
                <wp:extent cx="1073150" cy="14033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6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86196"/>
                                <w:sz w:val="16"/>
                                <w:szCs w:val="16"/>
                                <w:lang w:val="en-US" w:eastAsia="en-US"/>
                              </w:rPr>
                              <w:t>to75@fas.gov.ru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8.90000000000001pt;margin-top:163.95000000000002pt;width:84.5pt;height:11.05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6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86196"/>
                          <w:sz w:val="16"/>
                          <w:szCs w:val="16"/>
                          <w:lang w:val="en-US" w:eastAsia="en-US"/>
                        </w:rPr>
                        <w:t>to75@fas.gov.ru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1591945</wp:posOffset>
                </wp:positionH>
                <wp:positionV relativeFrom="paragraph">
                  <wp:posOffset>1109980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6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35000000000001pt;margin-top:87.40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6"/>
                          <w:sz w:val="19"/>
                          <w:szCs w:val="19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1336040</wp:posOffset>
                </wp:positionH>
                <wp:positionV relativeFrom="paragraph">
                  <wp:posOffset>1414780</wp:posOffset>
                </wp:positionV>
                <wp:extent cx="1420495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049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86196"/>
                                <w:sz w:val="19"/>
                                <w:szCs w:val="19"/>
                              </w:rPr>
                              <w:t>по Забайкальскому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5.2pt;margin-top:111.40000000000001pt;width:111.85000000000001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86196"/>
                          <w:sz w:val="19"/>
                          <w:szCs w:val="19"/>
                        </w:rPr>
                        <w:t>по Забайкальскому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1252855</wp:posOffset>
                </wp:positionV>
                <wp:extent cx="2249170" cy="149225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600000000000009pt;margin-top:98.650000000000006pt;width:177.09999999999999pt;height:11.7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ОБЩЕСТВО С ОГРАНИЧЕННОЙ</w:t>
        <w:br/>
        <w:t>ОТВЕТСТВЕННОСТЬЮ "СИБСТРОЙ"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669311, ИРКУТСКАЯ ОБЛАСТЬ, Р-Н</w:t>
        <w:br/>
        <w:t>БОХАНСКИЙ, П. БОХАН, УЛ. ДОРЖИ</w:t>
        <w:br/>
        <w:t>БАНЗАРОВА, Д. 36А</w:t>
        <w:br/>
      </w:r>
      <w:r>
        <w:fldChar w:fldCharType="begin"/>
      </w:r>
      <w:r>
        <w:rPr/>
        <w:instrText> HYPERLINK "mailto:efremov.evgeniy@bk.ru" </w:instrText>
      </w:r>
      <w:r>
        <w:fldChar w:fldCharType="separate"/>
      </w:r>
      <w:r>
        <w:rPr>
          <w:rStyle w:val="CharStyle10"/>
          <w:lang w:val="en-US" w:eastAsia="en-US"/>
        </w:rPr>
        <w:t>efremov.evgeniy@bk.ru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МУНИЦИПАЛЬНОЕ БЮДЖЕТНОЕ</w:t>
        <w:br/>
        <w:t>ОБЩЕОБРАЗОВАТЕЛЬНОЕ УЧРЕЖДЕНИЕ</w:t>
        <w:br/>
        <w:t>"СРЕДНЯЯ ОБЩЕОБРАЗОВАТЕЛЬНАЯ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ШКОЛА № 52"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212" w:left="544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10"/>
        </w:rPr>
        <w:t>Российская Федерация, 672030, Забайкальский</w:t>
        <w:br/>
        <w:t>край, Чита г, УЛ ВЕСЕННЯЯ, Д. 13</w:t>
        <w:br/>
      </w:r>
      <w:r>
        <w:fldChar w:fldCharType="begin"/>
      </w:r>
      <w:r>
        <w:rPr/>
        <w:instrText> HYPERLINK "mailto:kseniyad1988@mail.ru" </w:instrText>
      </w:r>
      <w:r>
        <w:fldChar w:fldCharType="separate"/>
      </w:r>
      <w:r>
        <w:rPr>
          <w:rStyle w:val="CharStyle10"/>
          <w:lang w:val="en-US" w:eastAsia="en-US"/>
        </w:rPr>
        <w:t>kseniyad1988@mail.ru</w:t>
      </w:r>
      <w:r>
        <w:fldChar w:fldCharType="end"/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3058" w:h="619" w:wrap="none" w:vAnchor="text" w:hAnchor="page" w:x="12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РЕШЕНИЕ</w:t>
      </w:r>
    </w:p>
    <w:p>
      <w:pPr>
        <w:pStyle w:val="Style9"/>
        <w:keepNext w:val="0"/>
        <w:keepLines w:val="0"/>
        <w:framePr w:w="3058" w:h="619" w:wrap="none" w:vAnchor="text" w:hAnchor="page" w:x="1213" w:y="21"/>
        <w:widowControl w:val="0"/>
        <w:shd w:val="clear" w:color="auto" w:fill="auto"/>
        <w:tabs>
          <w:tab w:pos="15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по</w:t>
        <w:tab/>
        <w:t>рассмотрению</w:t>
      </w:r>
    </w:p>
    <w:p>
      <w:pPr>
        <w:pStyle w:val="Style9"/>
        <w:keepNext w:val="0"/>
        <w:keepLines w:val="0"/>
        <w:framePr w:w="2357" w:h="346" w:wrap="none" w:vAnchor="text" w:hAnchor="page" w:x="5509" w:y="275"/>
        <w:widowControl w:val="0"/>
        <w:shd w:val="clear" w:color="auto" w:fill="auto"/>
        <w:tabs>
          <w:tab w:pos="207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жалобы</w:t>
        <w:tab/>
        <w:t>№</w:t>
      </w:r>
    </w:p>
    <w:p>
      <w:pPr>
        <w:pStyle w:val="Style9"/>
        <w:keepNext w:val="0"/>
        <w:keepLines w:val="0"/>
        <w:framePr w:w="2122" w:h="346" w:wrap="none" w:vAnchor="text" w:hAnchor="page" w:x="9114" w:y="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075/06/105-329/2026</w:t>
      </w: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7" w:bottom="1225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0"/>
        </w:rPr>
        <w:t>о нарушении законодательства при осуществлении закупки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1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815340</wp:posOffset>
                </wp:positionH>
                <wp:positionV relativeFrom="paragraph">
                  <wp:posOffset>12700</wp:posOffset>
                </wp:positionV>
                <wp:extent cx="1097280" cy="216535"/>
                <wp:wrapSquare wrapText="righ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18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4.200000000000003pt;margin-top:1.pt;width:86.400000000000006pt;height:17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18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</w:rPr>
        <w:t>г. Чита, ул. Лермонтова, 14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Комиссия Забайкальского УФАС России по рассмотрению жалоб в сфере закупок в составе: председателя комиссии Гойгова М.Б.- руководителя Забайкальского УФАС России; членов комиссии: Китаевой И.С. главного государственного инспектора отдела контроля закупок Забайкальского УФАС России, Ереминой В.В. главного специалиста -эксперта отдела контроля закупок Забайкальского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рассмотрев поступившую 11.05.2026 жалобу ООО «СИБСТРОЙ»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— МУНИЦИПАЛЬНЫМ БЮДЖЕТНЫМ ОБЩЕОБРАЗОВАТЕЛЬНЫМ УЧРЕЖДЕНИЕМ «СРЕДНЯЯ ОБЩЕОБРАЗОВАТЕЛЬНАЯ ШКОЛА № 52» при проведении открытого конкурса в электронной форме на выполнение работ по капитальному ремонту объекта капитального строительства в сфере образования» (реестровый номер закупки 0391300048326000009),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0"/>
        </w:rPr>
        <w:t>при участии представителя заказчика: Тургина Е.С. (доверенность от 14.05.2026 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11.05.2026 в адрес Забайкальского УФАС России поступила жалоба ООО «СИБСТРОЙ» на действия комиссии заказчика при осуществлении закупки № 0391300048326000009.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  <w:b/>
          <w:bCs/>
        </w:rPr>
        <w:t>Заявителем в жалобе указано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37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08.05.2026 согласно Протоколу подведения итогов заявке ООО «СибСтрой» (№121159384) при оценке заявок на участие в конкурсе присвоено 0,00 баллов. Между тем, ООО «СибСтрой» для участия в закупке в качестве подтверждения опыта, связанного с предметом контракта предоставило</w:t>
        <w:tab/>
        <w:t>контракт №15062023 от 15.06.2023 (ИКЗ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0"/>
        </w:rPr>
        <w:t>№232381800701938180100101060014120243) на выполнение капитального ремонта главного корпуса ОГБУЗ «Усть-Кутская РБ», расположенного по адресу: Иркутская область, г. Усть-Кут, ул. Высоцкого, 22, на сумму 62000600, 00 рублей, который не был учтён комиссией при подсчёте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2"/>
        </w:rPr>
        <w:t>IIIIIIIIIIIIIIIIIIIIIIII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0"/>
        </w:rPr>
        <w:t>баллов.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rStyle w:val="CharStyle10"/>
        </w:rPr>
        <w:t xml:space="preserve">С учетом вышеназванных обстоятельств, комиссия заказчика начислила заявке ООО «СибСтрой» при оценки второй части заявки по критерию, установленному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 </w:t>
      </w:r>
      <w:r>
        <w:rPr>
          <w:rStyle w:val="CharStyle10"/>
          <w:lang w:val="en-US" w:eastAsia="en-US"/>
        </w:rPr>
        <w:t xml:space="preserve">0,00 </w:t>
      </w:r>
      <w:r>
        <w:rPr>
          <w:rStyle w:val="CharStyle10"/>
        </w:rPr>
        <w:t>баллов по основаниям, не предусмотренным законодательством о контрактной системе. При соблюдении указанных выше норм Закона, Заказчик должен был начислить баллы в соответствии с установленными критериями оценки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По мнению заявителя, для того, чтобы по данному критерию у участника закупки было определено количество баллов, равное нулю, опыта работы, связанного с предметом закупки не должно быть вообще никакого.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Заявитель просит выдать предписание об устранении выявленных нарушений.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  <w:b/>
          <w:bCs/>
        </w:rPr>
        <w:t>Представителем заказчика представлены возражения по доводам жалобы и указано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 результатам подведения итогов определения подрядчика победителем электронного конкурса признан участник закупки идентификационным </w:t>
      </w:r>
      <w:r>
        <w:rPr>
          <w:rStyle w:val="CharStyle10"/>
          <w:lang w:val="en-US" w:eastAsia="en-US"/>
        </w:rPr>
        <w:t xml:space="preserve">№ 121146574 </w:t>
      </w:r>
      <w:r>
        <w:rPr>
          <w:rStyle w:val="CharStyle10"/>
        </w:rPr>
        <w:t xml:space="preserve">ООО «УЭС» (ИНН </w:t>
      </w:r>
      <w:r>
        <w:rPr>
          <w:rStyle w:val="CharStyle10"/>
          <w:lang w:val="en-US" w:eastAsia="en-US"/>
        </w:rPr>
        <w:t>0323115136).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Заявитель, подавая жалобу считает, что комиссией при оценки второй части заявки по критерию, установленному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 ему было присуждено </w:t>
      </w:r>
      <w:r>
        <w:rPr>
          <w:rStyle w:val="CharStyle10"/>
          <w:lang w:val="en-US" w:eastAsia="en-US"/>
        </w:rPr>
        <w:t xml:space="preserve">0,00 </w:t>
      </w:r>
      <w:r>
        <w:rPr>
          <w:rStyle w:val="CharStyle10"/>
        </w:rPr>
        <w:t>баллов по основаниям, не предусмотренным законодательством Российской Федерации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Представитель заказчика считает жалобу не подлежащей удовлетворению, поскольку заявитель фактически, обращаясь с жалобой в антимонопольный орган, ставит вопрос о неправомерности произведенной заказчиком оценки в отношении количества засчитанных в качестве опыта контрактов (договоров), т.е. жалоба подана в отношении результатов оценки заявок по квалификации участников закупки в соответствии с пунктом </w:t>
      </w:r>
      <w:r>
        <w:rPr>
          <w:rStyle w:val="CharStyle10"/>
          <w:color w:val="0066CC"/>
          <w:u w:val="single"/>
          <w:lang w:val="en-US" w:eastAsia="en-US"/>
        </w:rPr>
        <w:t xml:space="preserve">4 </w:t>
      </w:r>
      <w:r>
        <w:rPr>
          <w:rStyle w:val="CharStyle10"/>
          <w:color w:val="0066CC"/>
          <w:u w:val="single"/>
        </w:rPr>
        <w:t xml:space="preserve">части </w:t>
      </w:r>
      <w:r>
        <w:rPr>
          <w:rStyle w:val="CharStyle10"/>
          <w:color w:val="0066CC"/>
          <w:u w:val="single"/>
          <w:lang w:val="en-US" w:eastAsia="en-US"/>
        </w:rPr>
        <w:t xml:space="preserve">1 </w:t>
      </w:r>
      <w:r>
        <w:rPr>
          <w:rStyle w:val="CharStyle10"/>
          <w:color w:val="0066CC"/>
          <w:u w:val="single"/>
        </w:rPr>
        <w:t xml:space="preserve">статьи </w:t>
      </w:r>
      <w:r>
        <w:rPr>
          <w:rStyle w:val="CharStyle10"/>
          <w:color w:val="0066CC"/>
          <w:u w:val="single"/>
          <w:lang w:val="en-US" w:eastAsia="en-US"/>
        </w:rPr>
        <w:t>32</w:t>
      </w:r>
      <w:r>
        <w:rPr>
          <w:rStyle w:val="CharStyle10"/>
          <w:color w:val="0066CC"/>
          <w:lang w:val="en-US" w:eastAsia="en-US"/>
        </w:rPr>
        <w:t xml:space="preserve">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Однако, согласно части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 xml:space="preserve">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критериями, установленными </w:t>
      </w:r>
      <w:r>
        <w:rPr>
          <w:rStyle w:val="CharStyle10"/>
          <w:color w:val="0066CC"/>
          <w:u w:val="single"/>
        </w:rPr>
        <w:t xml:space="preserve">пунктами </w:t>
      </w:r>
      <w:r>
        <w:rPr>
          <w:rStyle w:val="CharStyle10"/>
          <w:color w:val="0066CC"/>
          <w:u w:val="single"/>
          <w:lang w:val="en-US" w:eastAsia="en-US"/>
        </w:rPr>
        <w:t>3</w:t>
      </w:r>
      <w:r>
        <w:rPr>
          <w:rStyle w:val="CharStyle10"/>
          <w:color w:val="0066CC"/>
          <w:lang w:val="en-US" w:eastAsia="en-US"/>
        </w:rPr>
        <w:t xml:space="preserve"> </w:t>
      </w:r>
      <w:r>
        <w:rPr>
          <w:rStyle w:val="CharStyle10"/>
        </w:rPr>
        <w:t xml:space="preserve">и </w:t>
      </w:r>
      <w:r>
        <w:rPr>
          <w:rStyle w:val="CharStyle10"/>
          <w:color w:val="0066CC"/>
          <w:u w:val="single"/>
          <w:lang w:val="en-US" w:eastAsia="en-US"/>
        </w:rPr>
        <w:t xml:space="preserve">4 </w:t>
      </w:r>
      <w:r>
        <w:rPr>
          <w:rStyle w:val="CharStyle10"/>
          <w:color w:val="0066CC"/>
          <w:u w:val="single"/>
        </w:rPr>
        <w:t xml:space="preserve">части </w:t>
      </w:r>
      <w:r>
        <w:rPr>
          <w:rStyle w:val="CharStyle10"/>
          <w:color w:val="0066CC"/>
          <w:u w:val="single"/>
          <w:lang w:val="en-US" w:eastAsia="en-US"/>
        </w:rPr>
        <w:t xml:space="preserve">1 </w:t>
      </w:r>
      <w:r>
        <w:rPr>
          <w:rStyle w:val="CharStyle10"/>
          <w:color w:val="0066CC"/>
          <w:u w:val="single"/>
        </w:rPr>
        <w:t xml:space="preserve">статьи </w:t>
      </w:r>
      <w:r>
        <w:rPr>
          <w:rStyle w:val="CharStyle10"/>
          <w:color w:val="0066CC"/>
          <w:u w:val="single"/>
          <w:lang w:val="en-US" w:eastAsia="en-US"/>
        </w:rPr>
        <w:t xml:space="preserve">32 </w:t>
      </w:r>
      <w:r>
        <w:rPr>
          <w:rStyle w:val="CharStyle10"/>
        </w:rPr>
        <w:t xml:space="preserve">настоящего Федерального закона, аналогичная норма содержится и в части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согласно которой рассмотрение жалобы не осуществляется в отношении результатов оценки заявок на участие в конкурсе.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Таким образом, жалоба Заявителя не соответствуют требованиям статьи </w:t>
      </w:r>
      <w:r>
        <w:rPr>
          <w:rStyle w:val="CharStyle10"/>
          <w:lang w:val="en-US" w:eastAsia="en-US"/>
        </w:rPr>
        <w:t xml:space="preserve">105 </w:t>
      </w:r>
      <w:r>
        <w:rPr>
          <w:rStyle w:val="CharStyle10"/>
        </w:rPr>
        <w:t>Закона о контрактной системе, следовательно, не подлежит рассмотрению, т. к. изложенные в них обстоятельства не относятся к полномочиям и компетенции 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Вместе с тем представитель считает необходимым дать следующие пояснения.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color w:val="22272F"/>
        </w:rPr>
        <w:t>Согласно установленных в закупке критериев оценки, установлен следующий детализирующий показатель: Наибольшая цена одного из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Заявителем в составе заявки для оценки показателя </w:t>
      </w:r>
      <w:r>
        <w:rPr>
          <w:rStyle w:val="CharStyle10"/>
          <w:color w:val="22272F"/>
        </w:rPr>
        <w:t xml:space="preserve">наличия у участника закупки опыта выполнения работы, связанного с предметом контракта, представлен контракт </w:t>
      </w:r>
      <w:r>
        <w:rPr>
          <w:rStyle w:val="CharStyle10"/>
          <w:color w:val="22272F"/>
          <w:lang w:val="en-US" w:eastAsia="en-US"/>
        </w:rPr>
        <w:t xml:space="preserve">№15062023 </w:t>
      </w:r>
      <w:r>
        <w:rPr>
          <w:rStyle w:val="CharStyle10"/>
          <w:color w:val="22272F"/>
        </w:rPr>
        <w:t xml:space="preserve">от </w:t>
      </w:r>
      <w:r>
        <w:rPr>
          <w:rStyle w:val="CharStyle10"/>
          <w:color w:val="22272F"/>
          <w:lang w:val="en-US" w:eastAsia="en-US"/>
        </w:rPr>
        <w:t xml:space="preserve">15.06.2023 </w:t>
      </w:r>
      <w:r>
        <w:rPr>
          <w:rStyle w:val="CharStyle10"/>
          <w:color w:val="22272F"/>
        </w:rPr>
        <w:t xml:space="preserve">(ИКЗ </w:t>
      </w:r>
      <w:r>
        <w:rPr>
          <w:rStyle w:val="CharStyle10"/>
          <w:color w:val="22272F"/>
          <w:lang w:val="en-US" w:eastAsia="en-US"/>
        </w:rPr>
        <w:t xml:space="preserve">№232381800701938180100101060014120243) </w:t>
      </w:r>
      <w:r>
        <w:rPr>
          <w:rStyle w:val="CharStyle10"/>
          <w:color w:val="22272F"/>
        </w:rPr>
        <w:t xml:space="preserve">на выполнение капитального ремонта главного корпуса ОГБУЗ «Усть-Кутская РБ», расположенного по адресу: Иркутская область, г. Усть-Кут, ул. Высоцкого, </w:t>
      </w:r>
      <w:r>
        <w:rPr>
          <w:rStyle w:val="CharStyle10"/>
          <w:color w:val="22272F"/>
          <w:lang w:val="en-US" w:eastAsia="en-US"/>
        </w:rPr>
        <w:t xml:space="preserve">22. </w:t>
      </w:r>
      <w:r>
        <w:rPr>
          <w:rStyle w:val="CharStyle10"/>
          <w:color w:val="22272F"/>
        </w:rPr>
        <w:t xml:space="preserve">На сумму </w:t>
      </w:r>
      <w:r>
        <w:rPr>
          <w:rStyle w:val="CharStyle10"/>
          <w:color w:val="22272F"/>
          <w:lang w:val="en-US" w:eastAsia="en-US"/>
        </w:rPr>
        <w:t xml:space="preserve">62 000 600 </w:t>
      </w:r>
      <w:r>
        <w:rPr>
          <w:rStyle w:val="CharStyle10"/>
          <w:color w:val="22272F"/>
        </w:rPr>
        <w:t xml:space="preserve">рублей </w:t>
      </w:r>
      <w:r>
        <w:rPr>
          <w:rStyle w:val="CharStyle10"/>
          <w:color w:val="22272F"/>
          <w:lang w:val="en-US" w:eastAsia="en-US"/>
        </w:rPr>
        <w:t xml:space="preserve">00 </w:t>
      </w:r>
      <w:r>
        <w:rPr>
          <w:rStyle w:val="CharStyle10"/>
          <w:color w:val="22272F"/>
        </w:rPr>
        <w:t>коп.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Стоимость данного контракта относительно контрактов (договоров) иных участников закупки является наименьшей.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2. </w:t>
      </w:r>
      <w:r>
        <w:rPr>
          <w:rStyle w:val="CharStyle10"/>
        </w:rPr>
        <w:t xml:space="preserve">Заявка </w:t>
      </w:r>
      <w:r>
        <w:rPr>
          <w:rStyle w:val="CharStyle10"/>
          <w:lang w:val="en-US" w:eastAsia="en-US"/>
        </w:rPr>
        <w:t xml:space="preserve">(121146574) </w:t>
      </w:r>
      <w:r>
        <w:rPr>
          <w:rStyle w:val="CharStyle10"/>
        </w:rPr>
        <w:t xml:space="preserve">ООО «УЭС» (ИНН </w:t>
      </w:r>
      <w:r>
        <w:rPr>
          <w:rStyle w:val="CharStyle10"/>
          <w:lang w:val="en-US" w:eastAsia="en-US"/>
        </w:rPr>
        <w:t xml:space="preserve">0323115136) </w:t>
      </w:r>
      <w:r>
        <w:rPr>
          <w:rStyle w:val="CharStyle10"/>
          <w:b/>
          <w:bCs/>
          <w:lang w:val="en-US" w:eastAsia="en-US"/>
        </w:rPr>
        <w:t xml:space="preserve">- 617 209 787,82 </w:t>
      </w:r>
      <w:r>
        <w:rPr>
          <w:rStyle w:val="CharStyle10"/>
          <w:b/>
          <w:bCs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3.Заявка </w:t>
      </w:r>
      <w:r>
        <w:rPr>
          <w:rStyle w:val="CharStyle10"/>
          <w:lang w:val="en-US" w:eastAsia="en-US"/>
        </w:rPr>
        <w:t xml:space="preserve">(121152855) </w:t>
      </w:r>
      <w:r>
        <w:rPr>
          <w:rStyle w:val="CharStyle10"/>
        </w:rPr>
        <w:t xml:space="preserve">ООО "СТРОИТЕЛЬНАЯ КОМПАНИЯ "ГРАНИТ" (ИНН </w:t>
      </w:r>
      <w:r>
        <w:rPr>
          <w:rStyle w:val="CharStyle10"/>
          <w:lang w:val="en-US" w:eastAsia="en-US"/>
        </w:rPr>
        <w:t xml:space="preserve">7536060389) - 119 235 719,02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4.Заявка </w:t>
      </w:r>
      <w:r>
        <w:rPr>
          <w:rStyle w:val="CharStyle10"/>
          <w:lang w:val="en-US" w:eastAsia="en-US"/>
        </w:rPr>
        <w:t xml:space="preserve">(121169350) </w:t>
      </w:r>
      <w:r>
        <w:rPr>
          <w:rStyle w:val="CharStyle10"/>
        </w:rPr>
        <w:t xml:space="preserve">ООО УК "КОММУНАЛЬНОЕ ХОЗЯЙСТВО" (ИНН </w:t>
      </w:r>
      <w:r>
        <w:rPr>
          <w:rStyle w:val="CharStyle10"/>
          <w:lang w:val="en-US" w:eastAsia="en-US"/>
        </w:rPr>
        <w:t xml:space="preserve">7536109764)- 181 877 787,30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left"/>
      </w:pPr>
      <w:r>
        <w:rPr>
          <w:rStyle w:val="CharStyle10"/>
        </w:rPr>
        <w:t xml:space="preserve">5.Заявка </w:t>
      </w:r>
      <w:r>
        <w:rPr>
          <w:rStyle w:val="CharStyle10"/>
          <w:lang w:val="en-US" w:eastAsia="en-US"/>
        </w:rPr>
        <w:t xml:space="preserve">(121169939) </w:t>
      </w:r>
      <w:r>
        <w:rPr>
          <w:rStyle w:val="CharStyle10"/>
        </w:rPr>
        <w:t xml:space="preserve">ООО "СТРОЙТЕХСНАБ" (ИНН </w:t>
      </w:r>
      <w:r>
        <w:rPr>
          <w:rStyle w:val="CharStyle10"/>
          <w:lang w:val="en-US" w:eastAsia="en-US"/>
        </w:rPr>
        <w:t xml:space="preserve">0326014344) - 292185927,00 </w:t>
      </w:r>
      <w:r>
        <w:rPr>
          <w:rStyle w:val="CharStyle10"/>
        </w:rPr>
        <w:t>руб.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10"/>
        </w:rPr>
        <w:t xml:space="preserve">6.Заявка </w:t>
      </w:r>
      <w:r>
        <w:rPr>
          <w:rStyle w:val="CharStyle10"/>
          <w:lang w:val="en-US" w:eastAsia="en-US"/>
        </w:rPr>
        <w:t xml:space="preserve">(121159384) </w:t>
      </w:r>
      <w:r>
        <w:rPr>
          <w:rStyle w:val="CharStyle10"/>
        </w:rPr>
        <w:t xml:space="preserve">ООО "СИБСТРОЙ" (ИНН </w:t>
      </w:r>
      <w:r>
        <w:rPr>
          <w:rStyle w:val="CharStyle10"/>
          <w:lang w:val="en-US" w:eastAsia="en-US"/>
        </w:rPr>
        <w:t xml:space="preserve">3849073029) - </w:t>
      </w:r>
      <w:r>
        <w:rPr>
          <w:rStyle w:val="CharStyle10"/>
          <w:b/>
          <w:bCs/>
          <w:lang w:val="en-US" w:eastAsia="en-US"/>
        </w:rPr>
        <w:t xml:space="preserve">62 000 600,00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10"/>
        </w:rPr>
        <w:t xml:space="preserve">7.Заявка </w:t>
      </w:r>
      <w:r>
        <w:rPr>
          <w:rStyle w:val="CharStyle10"/>
          <w:lang w:val="en-US" w:eastAsia="en-US"/>
        </w:rPr>
        <w:t xml:space="preserve">(121177906) </w:t>
      </w:r>
      <w:r>
        <w:rPr>
          <w:rStyle w:val="CharStyle10"/>
        </w:rPr>
        <w:t xml:space="preserve">ООО "СК РЕКОРД" (ИНН </w:t>
      </w:r>
      <w:r>
        <w:rPr>
          <w:rStyle w:val="CharStyle10"/>
          <w:lang w:val="en-US" w:eastAsia="en-US"/>
        </w:rPr>
        <w:t xml:space="preserve">7536137419) - 64 728 572,98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Максимальное значение </w:t>
      </w:r>
      <w:r>
        <w:rPr>
          <w:rStyle w:val="CharStyle10"/>
          <w:color w:val="22272F"/>
        </w:rPr>
        <w:t xml:space="preserve">наибольшая цена одного из исполненных участником закупки договоров у </w:t>
      </w:r>
      <w:r>
        <w:rPr>
          <w:rStyle w:val="CharStyle10"/>
        </w:rPr>
        <w:t xml:space="preserve">участника ООО «УЭС» составляет </w:t>
      </w:r>
      <w:r>
        <w:rPr>
          <w:rStyle w:val="CharStyle10"/>
          <w:lang w:val="en-US" w:eastAsia="en-US"/>
        </w:rPr>
        <w:t xml:space="preserve">617 209 787 </w:t>
      </w:r>
      <w:r>
        <w:rPr>
          <w:rStyle w:val="CharStyle10"/>
        </w:rPr>
        <w:t xml:space="preserve">рублей </w:t>
      </w:r>
      <w:r>
        <w:rPr>
          <w:rStyle w:val="CharStyle10"/>
          <w:lang w:val="en-US" w:eastAsia="en-US"/>
        </w:rPr>
        <w:t xml:space="preserve">82 </w:t>
      </w:r>
      <w:r>
        <w:rPr>
          <w:rStyle w:val="CharStyle10"/>
        </w:rPr>
        <w:t>коп.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размещенному порядку оценки применяется следующая формула по ПП РФ </w:t>
      </w:r>
      <w:r>
        <w:rPr>
          <w:rStyle w:val="CharStyle10"/>
          <w:lang w:val="en-US" w:eastAsia="en-US"/>
        </w:rPr>
        <w:t>№ 2604: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1148080</wp:posOffset>
                </wp:positionH>
                <wp:positionV relativeFrom="paragraph">
                  <wp:posOffset>12700</wp:posOffset>
                </wp:positionV>
                <wp:extent cx="1182370" cy="417830"/>
                <wp:wrapSquare wrapText="righ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CharStyle15"/>
                              </w:rPr>
                              <w:t>БХ</w:t>
                            </w:r>
                            <w:r>
                              <w:rPr>
                                <w:rStyle w:val="CharStyle15"/>
                                <w:i/>
                                <w:iCs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Style w:val="CharStyle15"/>
                              </w:rPr>
                              <w:t xml:space="preserve">= 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  <w:sz w:val="44"/>
                                <w:szCs w:val="44"/>
                              </w:rPr>
                              <w:t>(</w:t>
                            </w:r>
                            <w:r>
                              <w:rPr>
                                <w:rStyle w:val="CharStyle15"/>
                              </w:rPr>
                              <w:t>Х</w:t>
                            </w:r>
                            <w:r>
                              <w:rPr>
                                <w:rStyle w:val="CharStyle15"/>
                                <w:i/>
                                <w:iCs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Style w:val="CharStyle15"/>
                              </w:rPr>
                              <w:t>-Х</w:t>
                            </w:r>
                            <w:r>
                              <w:rPr>
                                <w:rStyle w:val="CharStyle15"/>
                                <w:i/>
                                <w:iCs/>
                                <w:sz w:val="19"/>
                                <w:szCs w:val="19"/>
                              </w:rPr>
                              <w:t>min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90.400000000000006pt;margin-top:1.pt;width:93.100000000000009pt;height:32.899999999999999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Style w:val="CharStyle15"/>
                        </w:rPr>
                        <w:t>БХ</w:t>
                      </w:r>
                      <w:r>
                        <w:rPr>
                          <w:rStyle w:val="CharStyle15"/>
                          <w:i/>
                          <w:iCs/>
                          <w:sz w:val="19"/>
                          <w:szCs w:val="19"/>
                        </w:rPr>
                        <w:t>i</w:t>
                      </w:r>
                      <w:r>
                        <w:rPr>
                          <w:rStyle w:val="CharStyle15"/>
                        </w:rPr>
                        <w:t xml:space="preserve">= </w:t>
                      </w:r>
                      <w:r>
                        <w:rPr>
                          <w:rStyle w:val="CharStyle15"/>
                          <w:b/>
                          <w:bCs/>
                          <w:sz w:val="44"/>
                          <w:szCs w:val="44"/>
                        </w:rPr>
                        <w:t>(</w:t>
                      </w:r>
                      <w:r>
                        <w:rPr>
                          <w:rStyle w:val="CharStyle15"/>
                        </w:rPr>
                        <w:t>Х</w:t>
                      </w:r>
                      <w:r>
                        <w:rPr>
                          <w:rStyle w:val="CharStyle15"/>
                          <w:i/>
                          <w:iCs/>
                          <w:sz w:val="19"/>
                          <w:szCs w:val="19"/>
                        </w:rPr>
                        <w:t>i</w:t>
                      </w:r>
                      <w:r>
                        <w:rPr>
                          <w:rStyle w:val="CharStyle15"/>
                        </w:rPr>
                        <w:t>-Х</w:t>
                      </w:r>
                      <w:r>
                        <w:rPr>
                          <w:rStyle w:val="CharStyle15"/>
                          <w:i/>
                          <w:iCs/>
                          <w:sz w:val="19"/>
                          <w:szCs w:val="19"/>
                        </w:rPr>
                        <w:t>min</w:t>
                      </w:r>
                      <w:r>
                        <w:rPr>
                          <w:rStyle w:val="CharStyle15"/>
                          <w:b/>
                          <w:bCs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2"/>
      <w:r>
        <w:rPr>
          <w:rStyle w:val="CharStyle27"/>
        </w:rPr>
        <w:t>100</w:t>
      </w:r>
      <w:bookmarkEnd w:id="2"/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4" w:name="bookmark4"/>
      <w:r>
        <w:rPr>
          <w:rStyle w:val="CharStyle27"/>
        </w:rPr>
        <w:t>×</w:t>
      </w:r>
      <w:bookmarkEnd w:id="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rStyle w:val="CharStyle8"/>
          <w:color w:val="000000"/>
          <w:vertAlign w:val="superscript"/>
          <w:lang w:val="en-US" w:eastAsia="en-US"/>
        </w:rPr>
        <w:t>Х</w:t>
      </w:r>
      <w:r>
        <w:rPr>
          <w:rStyle w:val="CharStyle8"/>
          <w:i/>
          <w:iCs/>
          <w:color w:val="000000"/>
          <w:lang w:val="en-US" w:eastAsia="en-US"/>
        </w:rPr>
        <w:t>max</w:t>
      </w:r>
      <w:r>
        <w:rPr>
          <w:rStyle w:val="CharStyle8"/>
          <w:color w:val="000000"/>
          <w:lang w:val="en-US" w:eastAsia="en-US"/>
        </w:rPr>
        <w:t xml:space="preserve"> </w:t>
      </w:r>
      <w:r>
        <w:rPr>
          <w:rStyle w:val="CharStyle8"/>
          <w:color w:val="000000"/>
          <w:vertAlign w:val="superscript"/>
          <w:lang w:val="en-US" w:eastAsia="en-US"/>
        </w:rPr>
        <w:t>-Х</w:t>
      </w:r>
      <w:r>
        <w:rPr>
          <w:rStyle w:val="CharStyle8"/>
          <w:i/>
          <w:iCs/>
          <w:color w:val="000000"/>
          <w:lang w:val="en-US" w:eastAsia="en-US"/>
        </w:rPr>
        <w:t>m in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Хmax - </w:t>
      </w:r>
      <w:r>
        <w:rPr>
          <w:rStyle w:val="CharStyle10"/>
        </w:rPr>
        <w:t xml:space="preserve">максимальное значение характеристики объекта закупки (наибольшая цена одного из исполненных участником закупки договоров, контрактов), содержащееся в заявках (частях заявок), подлежащих в соответствии с </w:t>
      </w:r>
      <w:r>
        <w:rPr>
          <w:rStyle w:val="CharStyle10"/>
          <w:color w:val="0066CC"/>
          <w:u w:val="single"/>
        </w:rPr>
        <w:t>Федеральным законом</w:t>
      </w:r>
      <w:r>
        <w:rPr>
          <w:rStyle w:val="CharStyle10"/>
          <w:color w:val="0066CC"/>
        </w:rPr>
        <w:t xml:space="preserve"> </w:t>
      </w:r>
      <w:r>
        <w:rPr>
          <w:rStyle w:val="CharStyle10"/>
        </w:rPr>
        <w:t>оценке по критерию оценки "характеристики объекта закупки";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Хi - </w:t>
      </w:r>
      <w:r>
        <w:rPr>
          <w:rStyle w:val="CharStyle10"/>
        </w:rPr>
        <w:t xml:space="preserve">значение характеристики объекта закупки (значение наибольшая цена одного из исполненных участником закупки договоров), содержащееся в предложении участника закупки, заявка (часть заявки) которого подлежит в соответствии с </w:t>
      </w:r>
      <w:r>
        <w:rPr>
          <w:rStyle w:val="CharStyle10"/>
          <w:color w:val="0066CC"/>
          <w:u w:val="single"/>
        </w:rPr>
        <w:t>Федеральным законом</w:t>
      </w:r>
      <w:r>
        <w:rPr>
          <w:rStyle w:val="CharStyle10"/>
          <w:color w:val="0066CC"/>
        </w:rPr>
        <w:t xml:space="preserve"> </w:t>
      </w:r>
      <w:r>
        <w:rPr>
          <w:rStyle w:val="CharStyle10"/>
        </w:rPr>
        <w:t>оценке по критерию оценки "характеристики объекта закупки";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Хmin - </w:t>
      </w:r>
      <w:r>
        <w:rPr>
          <w:rStyle w:val="CharStyle10"/>
        </w:rPr>
        <w:t xml:space="preserve">минимальное значение характеристики объекта закупки (значение наибольшая цена одного из исполненных участником закупки контрактов (договоров)), содержащееся в заявках (частях заявок), подлежащих в соответствии с </w:t>
      </w:r>
      <w:r>
        <w:rPr>
          <w:rStyle w:val="CharStyle10"/>
          <w:color w:val="0066CC"/>
          <w:u w:val="single"/>
        </w:rPr>
        <w:t xml:space="preserve">Федеральным законом </w:t>
      </w:r>
      <w:r>
        <w:rPr>
          <w:rStyle w:val="CharStyle10"/>
        </w:rPr>
        <w:t>оценке по критерию оценки "характеристики объекта закупки";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Таким образом баллы заявке Заявителя были присуждены согласно следующего расчета: </w:t>
      </w:r>
      <w:r>
        <w:rPr>
          <w:rStyle w:val="CharStyle10"/>
          <w:color w:val="22272F"/>
          <w:lang w:val="en-US" w:eastAsia="en-US"/>
        </w:rPr>
        <w:t>(62 000 600 - 62 000 600)*100/(</w:t>
      </w:r>
      <w:r>
        <w:rPr>
          <w:rStyle w:val="CharStyle10"/>
          <w:lang w:val="en-US" w:eastAsia="en-US"/>
        </w:rPr>
        <w:t>617 209 787,82-</w:t>
      </w:r>
      <w:r>
        <w:rPr>
          <w:rStyle w:val="CharStyle10"/>
          <w:color w:val="22272F"/>
          <w:lang w:val="en-US" w:eastAsia="en-US"/>
        </w:rPr>
        <w:t xml:space="preserve">62 000 600) = 0*0,4 </w:t>
      </w:r>
      <w:r>
        <w:rPr>
          <w:rStyle w:val="CharStyle10"/>
          <w:color w:val="22272F"/>
        </w:rPr>
        <w:t xml:space="preserve">(значимость критерия) </w:t>
      </w:r>
      <w:r>
        <w:rPr>
          <w:rStyle w:val="CharStyle10"/>
          <w:color w:val="22272F"/>
          <w:lang w:val="en-US" w:eastAsia="en-US"/>
        </w:rPr>
        <w:t xml:space="preserve">=0 </w:t>
      </w:r>
      <w:r>
        <w:rPr>
          <w:rStyle w:val="CharStyle10"/>
          <w:color w:val="22272F"/>
        </w:rPr>
        <w:t>баллов.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color w:val="22272F"/>
        </w:rPr>
        <w:t>На основании изложенного комиссия по рассмотрению заявок действовала строго в рамках установленных Законом о контрактной системе и требованиями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0"/>
          <w:b/>
          <w:bCs/>
          <w:lang w:val="en-US" w:eastAsia="en-US"/>
        </w:rPr>
        <w:t xml:space="preserve">1 </w:t>
      </w:r>
      <w:r>
        <w:rPr>
          <w:rStyle w:val="CharStyle10"/>
          <w:b/>
          <w:bCs/>
        </w:rPr>
        <w:t xml:space="preserve">части </w:t>
      </w:r>
      <w:r>
        <w:rPr>
          <w:rStyle w:val="CharStyle10"/>
          <w:b/>
          <w:bCs/>
          <w:lang w:val="en-US" w:eastAsia="en-US"/>
        </w:rPr>
        <w:t xml:space="preserve">15 </w:t>
      </w:r>
      <w:r>
        <w:rPr>
          <w:rStyle w:val="CharStyle10"/>
          <w:b/>
          <w:bCs/>
        </w:rPr>
        <w:t xml:space="preserve">статьи </w:t>
      </w:r>
      <w:r>
        <w:rPr>
          <w:rStyle w:val="CharStyle10"/>
          <w:b/>
          <w:bCs/>
          <w:lang w:val="en-US" w:eastAsia="en-US"/>
        </w:rPr>
        <w:t xml:space="preserve">99 </w:t>
      </w:r>
      <w:r>
        <w:rPr>
          <w:rStyle w:val="CharStyle10"/>
          <w:b/>
          <w:bCs/>
        </w:rPr>
        <w:t xml:space="preserve">Закона о контрактной системе проведена внеплановая проверка осуществления закупки </w:t>
      </w:r>
      <w:r>
        <w:rPr>
          <w:rStyle w:val="CharStyle10"/>
          <w:b/>
          <w:bCs/>
          <w:lang w:val="en-US" w:eastAsia="en-US"/>
        </w:rPr>
        <w:t xml:space="preserve">№ 0391300048326000009 . </w:t>
      </w:r>
      <w:r>
        <w:rPr>
          <w:rStyle w:val="CharStyle10"/>
          <w:b/>
          <w:bCs/>
        </w:rPr>
        <w:t>В ходе проверки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22.04.2026 </w:t>
      </w:r>
      <w:r>
        <w:rPr>
          <w:rStyle w:val="CharStyle10"/>
        </w:rPr>
        <w:t xml:space="preserve">заказчиком на официальном сайте ЕИС размещены извещение электронные документы о проведении открытого конкурса в электронной форме на выполнение работ по капитальному ремонту объекта капитального строительства в сфере образования» (реестровый номер закупки </w:t>
      </w:r>
      <w:r>
        <w:rPr>
          <w:rStyle w:val="CharStyle10"/>
          <w:lang w:val="en-US" w:eastAsia="en-US"/>
        </w:rPr>
        <w:t>0391300048326000009) 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1" w:right="0" w:firstLine="0"/>
        <w:jc w:val="left"/>
      </w:pPr>
      <w:r>
        <w:rPr>
          <w:rStyle w:val="CharStyle31"/>
        </w:rPr>
        <w:t xml:space="preserve">Начальная (максимальная) цена контракта </w:t>
      </w:r>
      <w:r>
        <w:rPr>
          <w:rStyle w:val="CharStyle31"/>
          <w:lang w:val="en-US" w:eastAsia="en-US"/>
        </w:rPr>
        <w:t xml:space="preserve">39167090.00 </w:t>
      </w:r>
      <w:r>
        <w:rPr>
          <w:rStyle w:val="CharStyle31"/>
        </w:rPr>
        <w:t>рублей.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1" w:right="0" w:firstLine="0"/>
        <w:jc w:val="left"/>
      </w:pPr>
      <w:r>
        <w:rPr>
          <w:rStyle w:val="CharStyle31"/>
        </w:rPr>
        <w:t>Согласно опубликованному порядку оценки заявок на участие в закупке Заказчиком</w:t>
      </w:r>
    </w:p>
    <w:tbl>
      <w:tblPr>
        <w:tblOverlap w:val="never"/>
        <w:jc w:val="center"/>
        <w:tblLayout w:type="fixed"/>
      </w:tblPr>
      <w:tblGrid>
        <w:gridCol w:w="432"/>
        <w:gridCol w:w="3086"/>
        <w:gridCol w:w="1190"/>
        <w:gridCol w:w="1589"/>
        <w:gridCol w:w="1243"/>
        <w:gridCol w:w="3230"/>
      </w:tblGrid>
      <w:tr>
        <w:trPr>
          <w:trHeight w:val="19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lang w:val="en-US" w:eastAsia="en-US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color w:val="22272F"/>
              </w:rPr>
              <w:t>Критерий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color w:val="22272F"/>
              </w:rPr>
              <w:t>Значимо сть критерия оценки, проценто 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color w:val="22272F"/>
              </w:rPr>
              <w:t>Показатель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color w:val="22272F"/>
              </w:rPr>
              <w:t>Значимос ть показател я оценки, проценто 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color w:val="22272F"/>
              </w:rPr>
              <w:t>Показатель оценки, детализирующий показатель оценки</w:t>
            </w:r>
          </w:p>
        </w:tc>
      </w:tr>
      <w:tr>
        <w:trPr>
          <w:trHeight w:val="22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lang w:val="en-US" w:eastAsia="en-US"/>
              </w:rPr>
              <w:t>1.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Цена контракта, сумма цен единиц товара, работы, услуги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3"/>
                <w:lang w:val="en-US" w:eastAsia="en-US"/>
              </w:rPr>
              <w:t>60%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center"/>
            </w:pPr>
            <w:r>
              <w:rPr>
                <w:rStyle w:val="CharStyle33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center"/>
            </w:pPr>
            <w:r>
              <w:rPr>
                <w:rStyle w:val="CharStyle33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center"/>
            </w:pPr>
            <w:r>
              <w:rPr>
                <w:rStyle w:val="CharStyle33"/>
                <w:lang w:val="en-US" w:eastAsia="en-US"/>
              </w:rPr>
              <w:t>-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32"/>
        <w:gridCol w:w="3086"/>
        <w:gridCol w:w="1190"/>
        <w:gridCol w:w="1589"/>
        <w:gridCol w:w="1243"/>
        <w:gridCol w:w="3230"/>
      </w:tblGrid>
      <w:tr>
        <w:trPr>
          <w:trHeight w:val="416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lang w:val="en-US" w:eastAsia="en-US"/>
              </w:rPr>
              <w:t>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3"/>
              </w:rPr>
              <w:t>Квалификация участников закупки, в том числе наличие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3"/>
              </w:rPr>
              <w:t>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lang w:val="en-US" w:eastAsia="en-US"/>
              </w:rPr>
              <w:t>40%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lang w:val="en-US" w:eastAsia="en-US"/>
              </w:rPr>
              <w:t>100%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Наибольшая цена одного из исполненных участником закупки договоров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участие в закупке поступило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(из них соответствует требованиям: </w:t>
      </w:r>
      <w:r>
        <w:rPr>
          <w:rStyle w:val="CharStyle10"/>
          <w:lang w:val="en-US" w:eastAsia="en-US"/>
        </w:rPr>
        <w:t xml:space="preserve">6 ; </w:t>
      </w:r>
      <w:r>
        <w:rPr>
          <w:rStyle w:val="CharStyle10"/>
        </w:rPr>
        <w:t xml:space="preserve">отклонено: </w:t>
      </w:r>
      <w:r>
        <w:rPr>
          <w:rStyle w:val="CharStyle10"/>
          <w:lang w:val="en-US" w:eastAsia="en-US"/>
        </w:rPr>
        <w:t xml:space="preserve">1 ) </w:t>
      </w:r>
      <w:r>
        <w:fldChar w:fldCharType="begin"/>
      </w:r>
      <w:r>
        <w:rPr/>
        <w:instrText> HYPERLINK "https://zakupki.gov.ru/epz/order/notice/ok20/view/protocol/protocol-main-info.html?regNumber=0391300048326000009&amp;protocolId=52339497" </w:instrText>
      </w:r>
      <w:r>
        <w:fldChar w:fldCharType="separate"/>
      </w:r>
      <w:r>
        <w:rPr>
          <w:rStyle w:val="CharStyle10"/>
        </w:rPr>
        <w:t xml:space="preserve">(Протокол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>08.05.2026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"https://zakupki.gov.ru/epz/order/notice/ok20/view/protocol/protocol-main-info.html?regNumber=0391300048326000009&amp;protocolId=52339497" </w:instrText>
      </w:r>
      <w:r>
        <w:fldChar w:fldCharType="separate"/>
      </w:r>
      <w:r>
        <w:rPr>
          <w:rStyle w:val="CharStyle10"/>
        </w:rPr>
        <w:t>№ИЭОК1</w:t>
      </w:r>
      <w:r>
        <w:fldChar w:fldCharType="end"/>
      </w:r>
      <w:r>
        <w:rPr>
          <w:rStyle w:val="CharStyle10"/>
        </w:rPr>
        <w:t xml:space="preserve"> </w:t>
      </w:r>
      <w:r>
        <w:rPr>
          <w:rStyle w:val="CharStyle10"/>
          <w:lang w:val="en-US" w:eastAsia="en-US"/>
        </w:rPr>
        <w:t>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момент рассмотрения жалобы муниципальный контракт не заключен.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0"/>
          <w:b/>
          <w:bCs/>
        </w:rPr>
        <w:t>Рассмотрев представленные документы, заслушав объяснения представителей сторон, Комиссия приходит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п. </w:t>
      </w:r>
      <w:r>
        <w:rPr>
          <w:rStyle w:val="CharStyle10"/>
          <w:lang w:val="en-US" w:eastAsia="en-US"/>
        </w:rPr>
        <w:t xml:space="preserve">11)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 извещение о закупке содержит критерии оценки заявок на участие в конкурсах, величины значимости этих критериев в соответствии с законом; в соответствии с п. </w:t>
      </w:r>
      <w:r>
        <w:rPr>
          <w:rStyle w:val="CharStyle10"/>
          <w:lang w:val="en-US" w:eastAsia="en-US"/>
        </w:rPr>
        <w:t xml:space="preserve">4)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порядок рассмотрения и оценки заявок на участие в конкурсах в соответствии с настоящим Федеральным законом.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0"/>
        </w:rPr>
        <w:t xml:space="preserve">Согласно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80" w:line="240" w:lineRule="auto"/>
        <w:ind w:left="0" w:right="0" w:firstLine="720"/>
        <w:jc w:val="both"/>
      </w:pPr>
      <w:r>
        <w:rPr>
          <w:rStyle w:val="CharStyle10"/>
        </w:rPr>
        <w:t>цена контракта, сумма цен единиц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Такой порядок установлен постановлением Правительства РФ от </w:t>
      </w:r>
      <w:r>
        <w:rPr>
          <w:rStyle w:val="CharStyle10"/>
          <w:lang w:val="en-US" w:eastAsia="en-US"/>
        </w:rPr>
        <w:t xml:space="preserve">31.12.2021 №2604 </w:t>
      </w:r>
      <w:r>
        <w:rPr>
          <w:rStyle w:val="CharStyle10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2021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N 2369 </w:t>
      </w:r>
      <w:r>
        <w:rPr>
          <w:rStyle w:val="CharStyle10"/>
        </w:rPr>
        <w:t xml:space="preserve">и признании утратившими силу некоторых актов и отдельных положений некоторых актов Правительства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Правительства Российской Федерации от </w:t>
      </w:r>
      <w:r>
        <w:rPr>
          <w:rStyle w:val="CharStyle10"/>
          <w:lang w:val="en-US" w:eastAsia="en-US"/>
        </w:rPr>
        <w:t>31.12.2021 N 2604).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80" w:line="240" w:lineRule="auto"/>
        <w:ind w:left="0" w:right="0" w:firstLine="720"/>
        <w:jc w:val="both"/>
      </w:pPr>
      <w:r>
        <w:rPr>
          <w:rStyle w:val="CharStyle10"/>
        </w:rPr>
        <w:t>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закупке соответствующей извещению об осуществлении закупки или об отклонении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настоящего Федерального закона (если такие критерии установлены извещением об осуществлении закупки);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 формирует с использованием электронной площадки протокол рассмотрения и оценки первых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 xml:space="preserve">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>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>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настоящего Федерального закона (если такой критерий установлен извещением об осуществлении закупки);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Согласно </w:t>
      </w:r>
      <w:r>
        <w:fldChar w:fldCharType="begin"/>
      </w:r>
      <w:r>
        <w:rPr/>
        <w:instrText> HYPERLINK "https://login.consultant.ru/link/?req=doc&amp;base=LAW&amp;n=430960&amp;dst=100015" </w:instrText>
      </w:r>
      <w:r>
        <w:fldChar w:fldCharType="separate"/>
      </w:r>
      <w:r>
        <w:rPr>
          <w:rStyle w:val="CharStyle10"/>
        </w:rPr>
        <w:t xml:space="preserve">пункту </w:t>
      </w:r>
      <w:r>
        <w:rPr>
          <w:rStyle w:val="CharStyle10"/>
          <w:lang w:val="en-US" w:eastAsia="en-US"/>
        </w:rPr>
        <w:t>2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31.12.2021 N 2604 </w:t>
      </w:r>
      <w:r>
        <w:rPr>
          <w:rStyle w:val="CharStyle10"/>
        </w:rPr>
        <w:t xml:space="preserve">под оценкой заявок понимаются действия членов комиссии по осуществлению закупок по присвоению в случаях, предусмотренных Федеральным </w:t>
      </w:r>
      <w:r>
        <w:fldChar w:fldCharType="begin"/>
      </w:r>
      <w:r>
        <w:rPr/>
        <w:instrText> HYPERLINK "https://login.consultant.ru/link/?req=doc&amp;base=LAW&amp;n=450824" </w:instrText>
      </w:r>
      <w:r>
        <w:fldChar w:fldCharType="separate"/>
      </w:r>
      <w:r>
        <w:rPr>
          <w:rStyle w:val="CharStyle10"/>
        </w:rPr>
        <w:t>законом</w:t>
      </w:r>
      <w:r>
        <w:fldChar w:fldCharType="end"/>
      </w:r>
      <w:r>
        <w:rPr>
          <w:rStyle w:val="CharStyle10"/>
        </w:rPr>
        <w:t xml:space="preserve"> </w:t>
      </w:r>
      <w:r>
        <w:rPr>
          <w:rStyle w:val="CharStyle10"/>
          <w:lang w:val="en-US" w:eastAsia="en-US"/>
        </w:rPr>
        <w:t xml:space="preserve">N </w:t>
      </w:r>
      <w:r>
        <w:rPr>
          <w:rStyle w:val="CharStyle10"/>
        </w:rPr>
        <w:t>44-ФЗ,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Как следует из содержания </w:t>
      </w:r>
      <w:r>
        <w:fldChar w:fldCharType="begin"/>
      </w:r>
      <w:r>
        <w:rPr/>
        <w:instrText> HYPERLINK "https://login.consultant.ru/link/?req=doc&amp;base=LAW&amp;n=450824&amp;dst=2514" </w:instrText>
      </w:r>
      <w:r>
        <w:fldChar w:fldCharType="separate"/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fldChar w:fldCharType="end"/>
      </w:r>
      <w:r>
        <w:rPr>
          <w:rStyle w:val="CharStyle10"/>
        </w:rPr>
        <w:t xml:space="preserve">Закона о контрактной системе </w:t>
      </w:r>
      <w:r>
        <w:rPr>
          <w:rStyle w:val="CharStyle10"/>
          <w:lang w:val="en-US" w:eastAsia="en-US"/>
        </w:rPr>
        <w:t xml:space="preserve">, </w:t>
      </w:r>
      <w:r>
        <w:rPr>
          <w:rStyle w:val="CharStyle10"/>
        </w:rPr>
        <w:t>рассмотрение вторых частей заявок на участие в закупке и осуществление их оценки по критерию, предусмотренному</w:t>
      </w:r>
      <w:r>
        <w:fldChar w:fldCharType="begin"/>
      </w:r>
      <w:r>
        <w:rPr/>
        <w:instrText> HYPERLINK "https://login.consultant.ru/link/?req=doc&amp;base=LAW&amp;n=450824&amp;dst=100366" </w:instrText>
      </w:r>
      <w:r>
        <w:fldChar w:fldCharType="separate"/>
      </w:r>
      <w:r>
        <w:rPr>
          <w:rStyle w:val="CharStyle10"/>
        </w:rPr>
        <w:t xml:space="preserve">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>32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N </w:t>
      </w:r>
      <w:r>
        <w:rPr>
          <w:rStyle w:val="CharStyle10"/>
        </w:rPr>
        <w:t>44-ФЗ (если такой критерий установлен извещением об осуществлении закупки) являются полномочиями исключительно комиссии по осуществлению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Кроме того, в соответствии с частью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 xml:space="preserve">Закона о контрактной системе при проведении плановых и внеплановых проверок </w:t>
      </w:r>
      <w:r>
        <w:rPr>
          <w:rStyle w:val="CharStyle10"/>
          <w:u w:val="single"/>
        </w:rPr>
        <w:t xml:space="preserve">не подлежат контролю результаты оценки заявок </w:t>
      </w:r>
      <w:r>
        <w:rPr>
          <w:rStyle w:val="CharStyle10"/>
        </w:rPr>
        <w:t xml:space="preserve">участников закупок в соответствии с критериями, установленными пунктами 3и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Закона. Такие результаты могут быть обжалованы участниками закупок в судебном порядке.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Положениями </w:t>
      </w:r>
      <w:r>
        <w:fldChar w:fldCharType="begin"/>
      </w:r>
      <w:r>
        <w:rPr/>
        <w:instrText> HYPERLINK "https://login.consultant.ru/link/?req=doc&amp;base=LAW&amp;n=450824&amp;dst=3116" </w:instrText>
      </w:r>
      <w:r>
        <w:fldChar w:fldCharType="separate"/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fldChar w:fldCharType="end"/>
      </w:r>
      <w:r>
        <w:rPr>
          <w:rStyle w:val="CharStyle10"/>
        </w:rPr>
        <w:t>Закона о контрактной системе императивно предусмотрено, что рассмотрение жалобы не осуществляется в отношении результатов оценки заявок на участие в конкурсе в соответствии с указанными в</w:t>
      </w:r>
      <w:r>
        <w:fldChar w:fldCharType="begin"/>
      </w:r>
      <w:r>
        <w:rPr/>
        <w:instrText> HYPERLINK "https://login.consultant.ru/link/?req=doc&amp;base=LAW&amp;n=450824&amp;dst=100365" </w:instrText>
      </w:r>
      <w:r>
        <w:fldChar w:fldCharType="separate"/>
      </w:r>
      <w:r>
        <w:rPr>
          <w:rStyle w:val="CharStyle10"/>
        </w:rPr>
        <w:t xml:space="preserve"> пунктах </w:t>
      </w:r>
      <w:r>
        <w:rPr>
          <w:rStyle w:val="CharStyle10"/>
          <w:lang w:val="en-US" w:eastAsia="en-US"/>
        </w:rPr>
        <w:t>3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и </w:t>
      </w:r>
      <w:r>
        <w:fldChar w:fldCharType="begin"/>
      </w:r>
      <w:r>
        <w:rPr/>
        <w:instrText> HYPERLINK "https://login.consultant.ru/link/?req=doc&amp;base=LAW&amp;n=450824&amp;dst=100366" </w:instrText>
      </w:r>
      <w:r>
        <w:fldChar w:fldCharType="separate"/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>32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Закона о контрактной системе критериями оценки этих заявок, окончательных предложений. Критериями, установленными </w:t>
      </w:r>
      <w:r>
        <w:fldChar w:fldCharType="begin"/>
      </w:r>
      <w:r>
        <w:rPr/>
        <w:instrText> HYPERLINK "https://login.consultant.ru/link/?req=doc&amp;base=LAW&amp;n=450824&amp;dst=100365" </w:instrText>
      </w:r>
      <w:r>
        <w:fldChar w:fldCharType="separate"/>
      </w:r>
      <w:r>
        <w:rPr>
          <w:rStyle w:val="CharStyle10"/>
        </w:rPr>
        <w:t xml:space="preserve">пунктами </w:t>
      </w:r>
      <w:r>
        <w:rPr>
          <w:rStyle w:val="CharStyle10"/>
          <w:lang w:val="en-US" w:eastAsia="en-US"/>
        </w:rPr>
        <w:t>3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и </w:t>
      </w:r>
      <w:r>
        <w:fldChar w:fldCharType="begin"/>
      </w:r>
      <w:r>
        <w:rPr/>
        <w:instrText> HYPERLINK "https://login.consultant.ru/link/?req=doc&amp;base=LAW&amp;n=450824&amp;dst=100366" </w:instrText>
      </w:r>
      <w:r>
        <w:fldChar w:fldCharType="separate"/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>32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>Закона о контрактной системе являются качественные, функциональные и экологические характеристики объекта закупки, а также квалификация участников закупки, в том числе наличие у них финансовых ресурсов, на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Таким образом, на основании изложенного, с учетом ограничений, установленных </w:t>
      </w:r>
      <w:r>
        <w:fldChar w:fldCharType="begin"/>
      </w:r>
      <w:r>
        <w:rPr/>
        <w:instrText> HYPERLINK "https://login.consultant.ru/link/?req=doc&amp;base=LAW&amp;n=450824&amp;dst=101427" </w:instrText>
      </w:r>
      <w:r>
        <w:fldChar w:fldCharType="separate"/>
      </w: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>12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fldChar w:fldCharType="begin"/>
      </w:r>
      <w:r>
        <w:rPr/>
        <w:instrText> HYPERLINK "https://login.consultant.ru/link/?req=doc&amp;base=LAW&amp;n=450824&amp;dst=101427" </w:instrText>
      </w:r>
      <w:r>
        <w:fldChar w:fldCharType="separate"/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>99</w:t>
      </w:r>
      <w:r>
        <w:fldChar w:fldCharType="end"/>
      </w:r>
      <w:r>
        <w:rPr>
          <w:rStyle w:val="CharStyle10"/>
          <w:lang w:val="en-US" w:eastAsia="en-US"/>
        </w:rPr>
        <w:t xml:space="preserve">, </w:t>
      </w:r>
      <w:r>
        <w:fldChar w:fldCharType="begin"/>
      </w:r>
      <w:r>
        <w:rPr/>
        <w:instrText> HYPERLINK "https://login.consultant.ru/link/?req=doc&amp;base=LAW&amp;n=450824&amp;dst=3116" </w:instrText>
      </w:r>
      <w:r>
        <w:fldChar w:fldCharType="separate"/>
      </w: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fldChar w:fldCharType="end"/>
      </w:r>
      <w:r>
        <w:rPr>
          <w:rStyle w:val="CharStyle10"/>
        </w:rPr>
        <w:t xml:space="preserve">Закона о контрактной системе, антимонопольный орган не наделен полномочиями на рассмотрение жалобы на результаты оценки заявок на участие в конкурсе на предмет соответствия поданной иным участником заявки критериям оценки, установленным </w:t>
      </w:r>
      <w:r>
        <w:fldChar w:fldCharType="begin"/>
      </w:r>
      <w:r>
        <w:rPr/>
        <w:instrText> HYPERLINK "https://login.consultant.ru/link/?req=doc&amp;base=LAW&amp;n=450824&amp;dst=100366" </w:instrText>
      </w:r>
      <w:r>
        <w:fldChar w:fldCharType="separate"/>
      </w:r>
      <w:r>
        <w:rPr>
          <w:rStyle w:val="CharStyle10"/>
        </w:rPr>
        <w:t xml:space="preserve">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>32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>Закона о контрактной системе, а также не наделен полномочиями на проведение внеплановой проверки данных обстоятельств, поскольку для таких ситуаций установлен исключительно судебный порядок обжалования.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связи с указанным, поскольку поданная жалоба ООО «СИБСТРОЙ» фактически представляет собой требование о проверке правомерности подсчёта баллов комиссией по осуществлению закупок заказчика, то в силу положений</w:t>
      </w:r>
      <w:r>
        <w:fldChar w:fldCharType="begin"/>
      </w:r>
      <w:r>
        <w:rPr/>
        <w:instrText> HYPERLINK "https://login.consultant.ru/link/?req=doc&amp;base=LAW&amp;n=450824&amp;dst=2224" </w:instrText>
      </w:r>
      <w:r>
        <w:fldChar w:fldCharType="separate"/>
      </w:r>
      <w:r>
        <w:rPr>
          <w:rStyle w:val="CharStyle10"/>
        </w:rPr>
        <w:t xml:space="preserve"> статей </w:t>
      </w:r>
      <w:r>
        <w:rPr>
          <w:rStyle w:val="CharStyle10"/>
          <w:lang w:val="en-US" w:eastAsia="en-US"/>
        </w:rPr>
        <w:t>32</w:t>
      </w:r>
      <w:r>
        <w:fldChar w:fldCharType="end"/>
      </w:r>
      <w:r>
        <w:rPr>
          <w:rStyle w:val="CharStyle10"/>
          <w:lang w:val="en-US" w:eastAsia="en-US"/>
        </w:rPr>
        <w:t xml:space="preserve">, 99, </w:t>
      </w:r>
      <w:r>
        <w:fldChar w:fldCharType="begin"/>
      </w:r>
      <w:r>
        <w:rPr/>
        <w:instrText> HYPERLINK "https://login.consultant.ru/link/?req=doc&amp;base=LAW&amp;n=450824&amp;dst=101548" </w:instrText>
      </w:r>
      <w:r>
        <w:fldChar w:fldCharType="separate"/>
      </w:r>
      <w:r>
        <w:rPr>
          <w:rStyle w:val="CharStyle10"/>
          <w:lang w:val="en-US" w:eastAsia="en-US"/>
        </w:rPr>
        <w:t xml:space="preserve">106 </w:t>
      </w:r>
      <w:r>
        <w:fldChar w:fldCharType="end"/>
      </w:r>
      <w:r>
        <w:rPr>
          <w:rStyle w:val="CharStyle10"/>
        </w:rPr>
        <w:t>Закона о контрактной системе, вопросы, связанные с присвоением количества баллов, в рамках оценки заявок не могут быть предметом рассмотрения со стороны антимонопольного органа.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26 </w:t>
      </w:r>
      <w:r>
        <w:rPr>
          <w:rStyle w:val="CharStyle10"/>
        </w:rPr>
        <w:t xml:space="preserve">августа </w:t>
      </w:r>
      <w:r>
        <w:rPr>
          <w:rStyle w:val="CharStyle10"/>
          <w:lang w:val="en-US" w:eastAsia="en-US"/>
        </w:rPr>
        <w:t xml:space="preserve">2013 </w:t>
      </w:r>
      <w:r>
        <w:rPr>
          <w:rStyle w:val="CharStyle10"/>
        </w:rPr>
        <w:t xml:space="preserve">года </w:t>
      </w:r>
      <w:r>
        <w:rPr>
          <w:rStyle w:val="CharStyle10"/>
          <w:lang w:val="en-US" w:eastAsia="en-US"/>
        </w:rPr>
        <w:t xml:space="preserve">№ 728 </w:t>
      </w:r>
      <w:r>
        <w:rPr>
          <w:rStyle w:val="CharStyle10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106, </w:t>
      </w:r>
      <w:r>
        <w:rPr>
          <w:rStyle w:val="CharStyle10"/>
        </w:rPr>
        <w:t xml:space="preserve">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99, </w:t>
      </w:r>
      <w:r>
        <w:rPr>
          <w:rStyle w:val="CharStyle10"/>
        </w:rPr>
        <w:t>Закона о контрактной системе, комиссия,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  <w:b/>
          <w:bCs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1. </w:t>
      </w:r>
      <w:r>
        <w:rPr>
          <w:rStyle w:val="CharStyle10"/>
        </w:rPr>
        <w:t xml:space="preserve">Жалобу ООО «СИБСТРОЙ» признать необоснованной, </w:t>
      </w:r>
      <w:r>
        <w:rPr>
          <w:rStyle w:val="CharStyle10"/>
          <w:color w:val="22272F"/>
        </w:rPr>
        <w:t>не подлежащей рассмотрению.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2" w:right="45" w:bottom="1196" w:left="105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359410" distL="0" distR="0" simplePos="0" relativeHeight="125829385" behindDoc="0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63500</wp:posOffset>
                </wp:positionV>
                <wp:extent cx="1697990" cy="23177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0"/>
                                <w:sz w:val="26"/>
                                <w:szCs w:val="2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5.850000000000001pt;margin-top:5.pt;width:133.69999999999999pt;height:18.25pt;z-index:-125829368;mso-wrap-distance-left:0;mso-wrap-distance-top:5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0"/>
                          <w:sz w:val="26"/>
                          <w:szCs w:val="2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3350" distB="0" distL="0" distR="1786255" simplePos="0" relativeHeight="125829387" behindDoc="0" locked="0" layoutInCell="1" allowOverlap="1">
            <wp:simplePos x="0" y="0"/>
            <wp:positionH relativeFrom="page">
              <wp:posOffset>2626360</wp:posOffset>
            </wp:positionH>
            <wp:positionV relativeFrom="paragraph">
              <wp:posOffset>133350</wp:posOffset>
            </wp:positionV>
            <wp:extent cx="359410" cy="52451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3086735</wp:posOffset>
                </wp:positionH>
                <wp:positionV relativeFrom="paragraph">
                  <wp:posOffset>538480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3.05000000000001pt;margin-top:42.399999999999999pt;width:101.05pt;height:7.90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221615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39.90000000000001pt;margin-top:17.449999999999999pt;width:135.59999999999999pt;height:20.40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59410" distL="0" distR="0" simplePos="0" relativeHeight="125829388" behindDoc="0" locked="0" layoutInCell="1" allowOverlap="1">
                <wp:simplePos x="0" y="0"/>
                <wp:positionH relativeFrom="page">
                  <wp:posOffset>6287135</wp:posOffset>
                </wp:positionH>
                <wp:positionV relativeFrom="paragraph">
                  <wp:posOffset>63500</wp:posOffset>
                </wp:positionV>
                <wp:extent cx="868680" cy="23177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0"/>
                                <w:sz w:val="26"/>
                                <w:szCs w:val="26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95.05000000000001pt;margin-top:5.pt;width:68.400000000000006pt;height:18.25pt;z-index:-125829365;mso-wrap-distance-left:0;mso-wrap-distance-top:5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0"/>
                          <w:sz w:val="26"/>
                          <w:szCs w:val="26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</w:rPr>
        <w:t>Гонгов Микаил Багаудинович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2272F"/>
        </w:rPr>
        <w:t xml:space="preserve">№ </w:t>
      </w:r>
      <w:r>
        <w:rPr>
          <w:rStyle w:val="CharStyle37"/>
          <w:lang w:val="en-US" w:eastAsia="en-US"/>
        </w:rPr>
        <w:t>13E8F22AFF76E7B299FFD431CF9C1CBD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Действителен с </w:t>
      </w:r>
      <w:r>
        <w:rPr>
          <w:rStyle w:val="CharStyle37"/>
          <w:color w:val="585858"/>
        </w:rPr>
        <w:t xml:space="preserve">26.12.2025 по </w:t>
      </w:r>
      <w:r>
        <w:rPr>
          <w:rStyle w:val="CharStyle37"/>
        </w:rPr>
        <w:t>21.03.2027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8" w:bottom="3099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356235" distL="0" distR="0" simplePos="0" relativeHeight="125829390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203200</wp:posOffset>
                </wp:positionV>
                <wp:extent cx="1249680" cy="2349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0"/>
                                <w:sz w:val="26"/>
                                <w:szCs w:val="2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5.600000000000001pt;margin-top:16.pt;width:98.400000000000006pt;height:18.5pt;z-index:-125829363;mso-wrap-distance-left:0;mso-wrap-distance-top:1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0"/>
                          <w:sz w:val="26"/>
                          <w:szCs w:val="2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6225" distB="0" distL="0" distR="1786255" simplePos="0" relativeHeight="125829392" behindDoc="0" locked="0" layoutInCell="1" allowOverlap="1">
            <wp:simplePos x="0" y="0"/>
            <wp:positionH relativeFrom="page">
              <wp:posOffset>2626360</wp:posOffset>
            </wp:positionH>
            <wp:positionV relativeFrom="paragraph">
              <wp:posOffset>276225</wp:posOffset>
            </wp:positionV>
            <wp:extent cx="359410" cy="518160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3086735</wp:posOffset>
                </wp:positionH>
                <wp:positionV relativeFrom="paragraph">
                  <wp:posOffset>678815</wp:posOffset>
                </wp:positionV>
                <wp:extent cx="1283335" cy="10033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3.05000000000001pt;margin-top:53.450000000000003pt;width:101.05pt;height:7.90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361315</wp:posOffset>
                </wp:positionV>
                <wp:extent cx="1722120" cy="25908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39.90000000000001pt;margin-top:28.449999999999999pt;width:135.59999999999999pt;height:20.40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356235" distL="0" distR="0" simplePos="0" relativeHeight="125829393" behindDoc="0" locked="0" layoutInCell="1" allowOverlap="1">
                <wp:simplePos x="0" y="0"/>
                <wp:positionH relativeFrom="page">
                  <wp:posOffset>6207760</wp:posOffset>
                </wp:positionH>
                <wp:positionV relativeFrom="paragraph">
                  <wp:posOffset>203200</wp:posOffset>
                </wp:positionV>
                <wp:extent cx="953770" cy="23495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0"/>
                                <w:sz w:val="26"/>
                                <w:szCs w:val="26"/>
                              </w:rPr>
                              <w:t>И.С. Китаева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88.80000000000001pt;margin-top:16.pt;width:75.100000000000009pt;height:18.5pt;z-index:-125829360;mso-wrap-distance-left:0;mso-wrap-distance-top:1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0"/>
                          <w:sz w:val="26"/>
                          <w:szCs w:val="26"/>
                        </w:rPr>
                        <w:t>И.С. Китаева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Кому </w:t>
      </w:r>
      <w:r>
        <w:rPr>
          <w:rStyle w:val="CharStyle37"/>
          <w:color w:val="585858"/>
        </w:rPr>
        <w:t xml:space="preserve">выдан: </w:t>
      </w:r>
      <w:r>
        <w:rPr>
          <w:rStyle w:val="CharStyle37"/>
          <w:color w:val="000000"/>
        </w:rPr>
        <w:t>Китаева Ирина Сергеевна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2272F"/>
        </w:rPr>
        <w:t xml:space="preserve">№ </w:t>
      </w:r>
      <w:r>
        <w:rPr>
          <w:rStyle w:val="CharStyle37"/>
          <w:lang w:val="en-US" w:eastAsia="en-US"/>
        </w:rPr>
        <w:t>01751684E7A30CA5C69DFCDEA1CDE24C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5" behindDoc="0" locked="0" layoutInCell="1" allowOverlap="1">
                <wp:simplePos x="0" y="0"/>
                <wp:positionH relativeFrom="page">
                  <wp:posOffset>6097905</wp:posOffset>
                </wp:positionH>
                <wp:positionV relativeFrom="paragraph">
                  <wp:posOffset>203200</wp:posOffset>
                </wp:positionV>
                <wp:extent cx="1060450" cy="252730"/>
                <wp:wrapSquare wrapText="left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  <w:lang w:val="ru-RU" w:eastAsia="ru-RU"/>
                              </w:rPr>
                              <w:t>В.В. Еремина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80.15000000000003pt;margin-top:16.pt;width:83.5pt;height:19.900000000000002pt;z-index:-12582935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  <w:lang w:val="ru-RU" w:eastAsia="ru-RU"/>
                        </w:rPr>
                        <w:t>В.В. Еремина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7"/>
        </w:rPr>
        <w:t xml:space="preserve">Действителен с 05.02.2026 </w:t>
      </w:r>
      <w:r>
        <w:rPr>
          <w:rStyle w:val="CharStyle37"/>
          <w:color w:val="585858"/>
        </w:rPr>
        <w:t>по 01.05.2027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4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4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42"/>
          <w:color w:val="FFFFFF"/>
          <w:sz w:val="12"/>
          <w:szCs w:val="12"/>
        </w:rPr>
        <w:t>СВЕДЕНИЯ О СЕРТИФИКАТЕ ЭП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</w:rPr>
        <w:t>Еремина Виктория Васильевна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2272F"/>
        </w:rPr>
        <w:t xml:space="preserve">№ </w:t>
      </w:r>
      <w:r>
        <w:rPr>
          <w:rStyle w:val="CharStyle37"/>
          <w:lang w:val="en-US" w:eastAsia="en-US"/>
        </w:rPr>
        <w:t>00FA851B520C8FB74C321D2B</w:t>
      </w:r>
      <w:r>
        <w:rPr>
          <w:rStyle w:val="CharStyle37"/>
          <w:color w:val="22272F"/>
        </w:rPr>
        <w:t>1</w:t>
      </w:r>
      <w:r>
        <w:rPr>
          <w:rStyle w:val="CharStyle37"/>
          <w:lang w:val="en-US" w:eastAsia="en-US"/>
        </w:rPr>
        <w:t>DBD7B</w:t>
      </w:r>
      <w:r>
        <w:rPr>
          <w:rStyle w:val="CharStyle37"/>
          <w:color w:val="22272F"/>
        </w:rPr>
        <w:t>1</w:t>
      </w:r>
      <w:r>
        <w:rPr>
          <w:rStyle w:val="CharStyle37"/>
          <w:lang w:val="en-US" w:eastAsia="en-US"/>
        </w:rPr>
        <w:t>D7</w:t>
      </w:r>
      <w:r>
        <w:rPr>
          <w:rStyle w:val="CharStyle37"/>
          <w:lang w:val="en-US" w:eastAsia="en-US"/>
        </w:rPr>
        <w:t>!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7"/>
        </w:rPr>
        <w:t xml:space="preserve">Действителен с 05.02.2026 </w:t>
      </w:r>
      <w:r>
        <w:rPr>
          <w:rStyle w:val="CharStyle37"/>
          <w:color w:val="585858"/>
        </w:rPr>
        <w:t xml:space="preserve">по </w:t>
      </w:r>
      <w:r>
        <w:rPr>
          <w:rStyle w:val="CharStyle37"/>
        </w:rPr>
        <w:t>01.05.2027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8" w:bottom="1110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694055</wp:posOffset>
              </wp:positionH>
              <wp:positionV relativeFrom="page">
                <wp:posOffset>9997440</wp:posOffset>
              </wp:positionV>
              <wp:extent cx="658495" cy="12827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2026-2752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4.649999999999999pt;margin-top:787.2000000000000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2026-2752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2026-2752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2026-2752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72F"/>
      <w:sz w:val="11"/>
      <w:szCs w:val="11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7">
    <w:name w:val="Heading #2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character" w:customStyle="1" w:styleId="CharStyle31">
    <w:name w:val="Table caption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3">
    <w:name w:val="Other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7">
    <w:name w:val="Body text (2)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42">
    <w:name w:val="Body text (3)_"/>
    <w:basedOn w:val="DefaultParagraphFont"/>
    <w:link w:val="Style4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72F"/>
      <w:sz w:val="11"/>
      <w:szCs w:val="11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72F"/>
      <w:sz w:val="11"/>
      <w:szCs w:val="11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60"/>
      <w:ind w:firstLine="1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6">
    <w:name w:val="Heading #2"/>
    <w:basedOn w:val="Normal"/>
    <w:link w:val="CharStyle27"/>
    <w:pPr>
      <w:widowControl w:val="0"/>
      <w:shd w:val="clear" w:color="auto" w:fill="auto"/>
      <w:spacing w:line="209" w:lineRule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paragraph" w:customStyle="1" w:styleId="Style30">
    <w:name w:val="Table caption"/>
    <w:basedOn w:val="Normal"/>
    <w:link w:val="CharStyle3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2">
    <w:name w:val="Other"/>
    <w:basedOn w:val="Normal"/>
    <w:link w:val="CharStyle3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6">
    <w:name w:val="Body text (2)"/>
    <w:basedOn w:val="Normal"/>
    <w:link w:val="CharStyle3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41">
    <w:name w:val="Body text (3)"/>
    <w:basedOn w:val="Normal"/>
    <w:link w:val="CharStyle42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72F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