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134"/>
          <w:szCs w:val="134"/>
        </w:rPr>
      </w:pPr>
      <w:r>
        <w:rPr>
          <w:rStyle w:val="CharStyle3"/>
          <w:color w:val="476198"/>
          <w:sz w:val="134"/>
          <w:szCs w:val="134"/>
          <w:lang w:val="en-US" w:eastAsia="en-US"/>
        </w:rPr>
        <w:t>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8"/>
          <w:sz w:val="19"/>
          <w:szCs w:val="19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6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Федеральной антимонопольной службы</w:t>
        <w:br/>
        <w:t>по Курской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center"/>
      </w:pPr>
      <w:r>
        <w:rPr>
          <w:rStyle w:val="CharStyle9"/>
        </w:rPr>
        <w:t>ул. Марата, 9, г. Курск, 305000</w:t>
        <w:br/>
        <w:t>тел. (4712) 70-08-15, факс (4712) 70-87-02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"mailto:to46@fas.gov.ru" </w:instrText>
      </w:r>
      <w:r>
        <w:fldChar w:fldCharType="separate"/>
      </w:r>
      <w:r>
        <w:rPr>
          <w:rStyle w:val="CharStyle9"/>
          <w:lang w:val="en-US" w:eastAsia="en-US"/>
        </w:rPr>
        <w:t>to46@fas.gov.ru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3"/>
          <w:u w:val="none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  <w:u w:val="none"/>
        </w:rPr>
        <w:t>2.0</w:t>
      </w:r>
      <w:r>
        <w:rPr>
          <w:rStyle w:val="CharStyle13"/>
        </w:rPr>
        <w:t>5.2026</w:t>
      </w:r>
      <w:r>
        <w:rPr>
          <w:rStyle w:val="CharStyle13"/>
          <w:u w:val="none"/>
        </w:rPr>
        <w:tab/>
      </w:r>
      <w:r>
        <w:fldChar w:fldCharType="end"/>
      </w:r>
      <w:r>
        <w:rPr>
          <w:rStyle w:val="CharStyle13"/>
          <w:u w:val="none"/>
        </w:rPr>
        <w:t>№ М</w:t>
      </w:r>
      <w:r>
        <w:rPr>
          <w:rStyle w:val="CharStyle13"/>
        </w:rPr>
        <w:t>В/1668/2</w:t>
      </w:r>
      <w:r>
        <w:rPr>
          <w:rStyle w:val="CharStyle13"/>
          <w:u w:val="none"/>
        </w:rPr>
        <w:t>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76198"/>
          <w:sz w:val="18"/>
          <w:szCs w:val="18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Главному врачу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ОБУЗ «Октябрьская ЦРБ»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>Мишину Н.Е.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 xml:space="preserve">307200, Курская обл., Октябрьский р-н п.Прямицыно, ул. Октябрьская 185 </w:t>
      </w:r>
      <w:r>
        <w:fldChar w:fldCharType="begin"/>
      </w:r>
      <w:r>
        <w:rPr/>
        <w:instrText> HYPERLINK "mailto:oktcrb@mail.ru" </w:instrText>
      </w:r>
      <w:r>
        <w:fldChar w:fldCharType="separate"/>
      </w:r>
      <w:r>
        <w:rPr>
          <w:rStyle w:val="CharStyle17"/>
          <w:lang w:val="en-US" w:eastAsia="en-US"/>
        </w:rPr>
        <w:t>oktcrb@mail.ru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Директору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ОКУ «Центр закупок Курской области»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Кулагину К.О.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leader="underscore" w:pos="421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ab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305000, г. Курск, Красная площадь, д.6, подъезд 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"mailto:ts.zakupok@yandex.ru" </w:instrText>
      </w:r>
      <w:r>
        <w:fldChar w:fldCharType="separate"/>
      </w:r>
      <w:r>
        <w:rPr>
          <w:rStyle w:val="CharStyle17"/>
          <w:lang w:val="en-US" w:eastAsia="en-US"/>
        </w:rPr>
        <w:t>ts.zakupok@yandex.ru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ИП Подоляцкому Н.С.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leader="underscore" w:pos="421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ab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 xml:space="preserve">238340, Калининградская область, г. Светлый, ул. 1-я Маяковского, д.23 </w:t>
      </w:r>
      <w:r>
        <w:fldChar w:fldCharType="begin"/>
      </w:r>
      <w:r>
        <w:rPr/>
        <w:instrText> HYPERLINK "mailto:n.podolacky@gmail.com" </w:instrText>
      </w:r>
      <w:r>
        <w:fldChar w:fldCharType="separate"/>
      </w:r>
      <w:r>
        <w:rPr>
          <w:rStyle w:val="CharStyle17"/>
          <w:lang w:val="en-US" w:eastAsia="en-US"/>
        </w:rPr>
        <w:t>n.podolacky@gmail.com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58" w:right="757" w:bottom="1216" w:left="1135" w:header="0" w:footer="3" w:gutter="0"/>
          <w:pgNumType w:start="1"/>
          <w:cols w:num="2" w:space="720" w:equalWidth="0">
            <w:col w:w="4272" w:space="998"/>
            <w:col w:w="4738"/>
          </w:cols>
          <w:noEndnote/>
          <w:titlePg/>
          <w:rtlGutter w:val="0"/>
          <w:docGrid w:linePitch="360"/>
        </w:sectPr>
      </w:pPr>
      <w:r>
        <w:rPr>
          <w:rStyle w:val="CharStyle17"/>
        </w:rPr>
        <w:t>Оператору электронной площадки АО «Сбербанк-АСТ»</w:t>
      </w:r>
    </w:p>
    <w:p>
      <w:pPr>
        <w:widowControl w:val="0"/>
        <w:spacing w:line="132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9" w:right="0" w:bottom="10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2640" w:firstLine="0"/>
        <w:jc w:val="right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7"/>
          <w:lang w:val="en-US" w:eastAsia="en-US"/>
        </w:rPr>
        <w:t>ko@sberbank-ast.ru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  <w:rPr>
          <w:sz w:val="24"/>
          <w:szCs w:val="24"/>
        </w:rPr>
      </w:pPr>
      <w:r>
        <w:rPr>
          <w:rStyle w:val="CharStyle19"/>
          <w:b/>
          <w:bCs/>
          <w:sz w:val="24"/>
          <w:szCs w:val="24"/>
        </w:rPr>
        <w:t>Р Е Ш Е Н И Е</w:t>
        <w:br/>
        <w:t>по делу №046/06/105-220/2026</w:t>
        <w:br/>
        <w:t>Комиссии Управления Федеральной антимонопольной службы</w:t>
        <w:br/>
        <w:t>по Курской области</w:t>
      </w:r>
    </w:p>
    <w:tbl>
      <w:tblPr>
        <w:tblOverlap w:val="never"/>
        <w:jc w:val="left"/>
        <w:tblLayout w:type="fixed"/>
      </w:tblPr>
      <w:tblGrid>
        <w:gridCol w:w="4464"/>
        <w:gridCol w:w="2861"/>
        <w:gridCol w:w="2890"/>
      </w:tblGrid>
      <w:tr>
        <w:trPr>
          <w:trHeight w:val="52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framePr w:w="10214" w:h="523" w:vSpace="936" w:wrap="notBeside" w:vAnchor="text" w:hAnchor="text" w:x="18" w:y="9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Состав Комиссии Курского УФАС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framePr w:w="10214" w:h="523" w:vSpace="936" w:wrap="notBeside" w:vAnchor="text" w:hAnchor="text" w:x="18" w:y="9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Волкова М.В.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framePr w:w="10214" w:h="523" w:vSpace="936" w:wrap="notBeside" w:vAnchor="text" w:hAnchor="text" w:x="18" w:y="9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председатель Комиссии,</w:t>
            </w:r>
          </w:p>
        </w:tc>
      </w:tr>
    </w:tbl>
    <w:p>
      <w:pPr>
        <w:pStyle w:val="Style22"/>
        <w:keepNext w:val="0"/>
        <w:keepLines w:val="0"/>
        <w:framePr w:w="4958" w:h="662" w:hSpace="17" w:wrap="notBeside" w:vAnchor="text" w:hAnchor="text" w:x="10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Резолютивная часть объявлена 19 мая 2026 года</w:t>
      </w:r>
    </w:p>
    <w:p>
      <w:pPr>
        <w:pStyle w:val="Style22"/>
        <w:keepNext w:val="0"/>
        <w:keepLines w:val="0"/>
        <w:framePr w:w="4958" w:h="662" w:hSpace="17" w:wrap="notBeside" w:vAnchor="text" w:hAnchor="text" w:x="10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Изготовлено в полном объеме 22 мая 2026 года</w:t>
      </w:r>
    </w:p>
    <w:p>
      <w:pPr>
        <w:pStyle w:val="Style22"/>
        <w:keepNext w:val="0"/>
        <w:keepLines w:val="0"/>
        <w:framePr w:w="850" w:h="341" w:hSpace="17" w:wrap="notBeside" w:vAnchor="text" w:hAnchor="text" w:x="9296" w:y="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3"/>
        </w:rPr>
        <w:t>г. Курск</w:t>
      </w:r>
    </w:p>
    <w:p>
      <w:pPr>
        <w:widowControl w:val="0"/>
        <w:spacing w:line="1" w:lineRule="exact"/>
      </w:pP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5"/>
        </w:rPr>
        <w:t>1IIIIIIIIIIIIIIIIIIIIIII</w:t>
      </w:r>
      <w:bookmarkEnd w:id="2"/>
      <w:r>
        <w:br w:type="page"/>
      </w:r>
    </w:p>
    <w:tbl>
      <w:tblPr>
        <w:tblOverlap w:val="never"/>
        <w:jc w:val="center"/>
        <w:tblLayout w:type="fixed"/>
      </w:tblPr>
      <w:tblGrid>
        <w:gridCol w:w="4464"/>
        <w:gridCol w:w="2866"/>
        <w:gridCol w:w="2880"/>
      </w:tblGrid>
      <w:tr>
        <w:trPr>
          <w:trHeight w:val="47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России по контролю в сфере закупок товаров, работ, услуг для обеспечения государственных и муниципальных нужд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(далее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 xml:space="preserve">– </w:t>
            </w:r>
            <w:r>
              <w:rPr>
                <w:rStyle w:val="CharStyle3"/>
                <w:sz w:val="24"/>
                <w:szCs w:val="24"/>
              </w:rPr>
              <w:t>Комиссия):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Рагулина Т.Ю.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член Комиссии,</w:t>
            </w:r>
          </w:p>
        </w:tc>
      </w:tr>
      <w:tr>
        <w:trPr>
          <w:trHeight w:val="108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Ченцова А.И.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член Комиссии,</w:t>
            </w:r>
          </w:p>
        </w:tc>
      </w:tr>
      <w:tr>
        <w:trPr>
          <w:trHeight w:val="59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Заявитель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Индивидуальный предприниматель Подоляцкий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Николай Сергеевич (далее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 xml:space="preserve">– </w:t>
            </w:r>
            <w:r>
              <w:rPr>
                <w:rStyle w:val="CharStyle3"/>
                <w:sz w:val="24"/>
                <w:szCs w:val="24"/>
              </w:rPr>
              <w:t>ИП Подоляцкий Н.С.)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Ф.И.О. участвующего (-их) в заседании представителя (-ей) заявителя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Отсутствует (надлежаще уведомлен о времени и месте рассмотрения дела, в том числе путем возможности дистанционного участия)</w:t>
            </w:r>
          </w:p>
        </w:tc>
      </w:tr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Заказчик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Областное бюджетное учреждение здравоохранения «Октябрьская центральная районная больница» (далее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 xml:space="preserve">– </w:t>
            </w:r>
            <w:r>
              <w:rPr>
                <w:rStyle w:val="CharStyle3"/>
                <w:sz w:val="24"/>
                <w:szCs w:val="24"/>
              </w:rPr>
              <w:t>ОБУЗ «Октябрьская ЦРБ»)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Ф.И.О. участвующего (-их) в заседании представителя (-ей) заказчика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Отсутствует (надлежаще уведомлен о времени и месте рассмотрения дела, в том числе путем возможности дистанционного участия)</w:t>
            </w:r>
          </w:p>
        </w:tc>
      </w:tr>
      <w:tr>
        <w:trPr>
          <w:trHeight w:val="60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Уполномоченное учреждения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Областное казенное учреждение «Центр закупок Курской области»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Отсутствует (надлежаще уведомлен о времени и месте рассмотрения дела, в том числе путем возможности дистанционного участия)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Способ определения поставщика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Электронный аукцион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Закупка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>№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>0744200000226003517</w:t>
            </w:r>
          </w:p>
        </w:tc>
      </w:tr>
      <w:tr>
        <w:trPr>
          <w:trHeight w:val="59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Объект закупки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Поставка химических реактив и расходных материалов для лаборатории</w:t>
            </w:r>
          </w:p>
        </w:tc>
      </w:tr>
      <w:tr>
        <w:trPr>
          <w:trHeight w:val="60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627" w:val="left"/>
                <w:tab w:pos="37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Начальная</w:t>
              <w:tab/>
              <w:t>(максимальная)</w:t>
              <w:tab/>
              <w:t>цена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контракта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 xml:space="preserve">31 500 </w:t>
            </w:r>
            <w:r>
              <w:rPr>
                <w:rStyle w:val="CharStyle3"/>
                <w:sz w:val="24"/>
                <w:szCs w:val="24"/>
              </w:rPr>
              <w:t>руб.00 коп.</w:t>
            </w:r>
          </w:p>
        </w:tc>
      </w:tr>
      <w:tr>
        <w:trPr>
          <w:trHeight w:val="60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Дата размещения извещения об осуществлении закупки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>28.04.2026</w:t>
            </w:r>
          </w:p>
        </w:tc>
      </w:tr>
      <w:tr>
        <w:trPr>
          <w:trHeight w:val="7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Изменение (-я) извещения об осуществлении закупки (при наличии)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>-</w:t>
            </w:r>
          </w:p>
        </w:tc>
      </w:tr>
      <w:tr>
        <w:trPr>
          <w:trHeight w:val="12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Разъяснение (-я) положений извещения об осуществлении закупки, размещенные в единой информационной системе (далее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 xml:space="preserve">– </w:t>
            </w:r>
            <w:r>
              <w:rPr>
                <w:rStyle w:val="CharStyle3"/>
                <w:sz w:val="24"/>
                <w:szCs w:val="24"/>
              </w:rPr>
              <w:t>ЕИС) (при наличии)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>07.05.2026</w:t>
            </w:r>
          </w:p>
        </w:tc>
      </w:tr>
      <w:tr>
        <w:trPr>
          <w:trHeight w:val="59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Количество поданных заявок на участие в закупке (при наличии)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 xml:space="preserve">2 </w:t>
            </w:r>
            <w:r>
              <w:rPr>
                <w:rStyle w:val="CharStyle3"/>
                <w:sz w:val="24"/>
                <w:szCs w:val="24"/>
              </w:rPr>
              <w:t xml:space="preserve">(две) с идентификационными номерами заявок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>150, 119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 xml:space="preserve">2 </w:t>
            </w:r>
            <w:r>
              <w:rPr>
                <w:rStyle w:val="CharStyle3"/>
                <w:sz w:val="24"/>
                <w:szCs w:val="24"/>
              </w:rPr>
              <w:t xml:space="preserve">(две) с идентификационными номерами заявок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>150, 119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>-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9" w:right="548" w:bottom="1007" w:left="1104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4464"/>
        <w:gridCol w:w="5746"/>
      </w:tblGrid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Контракт не заключен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>Национальный проект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  <w:lang w:val="en-US" w:eastAsia="en-US"/>
              </w:rPr>
              <w:t>-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9"/>
        </w:rPr>
        <w:t>Заседание проведено дистанционно с использованием средств видео-конференц</w:t>
        <w:softHyphen/>
        <w:t xml:space="preserve">связи по ссылке </w:t>
      </w:r>
      <w:r>
        <w:fldChar w:fldCharType="begin"/>
      </w:r>
      <w:r>
        <w:rPr/>
        <w:instrText> HYPERLINK "https://fas1.trueconf.ru/c/2976238861" </w:instrText>
      </w:r>
      <w:r>
        <w:fldChar w:fldCharType="separate"/>
      </w:r>
      <w:r>
        <w:rPr>
          <w:rStyle w:val="CharStyle19"/>
          <w:b/>
          <w:bCs/>
          <w:lang w:val="en-US" w:eastAsia="en-US"/>
        </w:rPr>
        <w:t>https://fas1.trueconf.ru/c/2976238861</w:t>
      </w:r>
      <w:r>
        <w:fldChar w:fldCharType="end"/>
      </w:r>
      <w:r>
        <w:rPr>
          <w:rStyle w:val="CharStyle19"/>
          <w:lang w:val="en-US" w:eastAsia="en-US"/>
        </w:rPr>
        <w:t xml:space="preserve">, </w:t>
      </w:r>
      <w:r>
        <w:rPr>
          <w:rStyle w:val="CharStyle19"/>
        </w:rPr>
        <w:t>на заседании велась аудиозапись.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>Довод (-ы) жалобы: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9"/>
        </w:rPr>
        <w:t xml:space="preserve">по мнению заявителя заявка победителя (идентификационный номер заявки </w:t>
      </w:r>
      <w:r>
        <w:rPr>
          <w:rStyle w:val="CharStyle19"/>
          <w:lang w:val="en-US" w:eastAsia="en-US"/>
        </w:rPr>
        <w:t xml:space="preserve">150) </w:t>
      </w:r>
      <w:r>
        <w:rPr>
          <w:rStyle w:val="CharStyle19"/>
        </w:rPr>
        <w:t>подлежала отклонению комиссией по осуществлению закупки, поскольку предлагаемый победителем товар не является совместимым с оборудованием, имеющимся у заказчика.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9"/>
        </w:rPr>
        <w:t xml:space="preserve">По результатам проведенной на основании ч.15 ст.99, ст.106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ФЗ «О контрактной системе</w:t>
      </w:r>
      <w:r>
        <w:rPr>
          <w:rStyle w:val="CharStyle19"/>
          <w:lang w:val="en-US" w:eastAsia="en-US"/>
        </w:rPr>
        <w:t xml:space="preserve">...»), </w:t>
      </w:r>
      <w:r>
        <w:rPr>
          <w:rStyle w:val="CharStyle19"/>
        </w:rPr>
        <w:t xml:space="preserve">Постановления Правительства РФ от </w:t>
      </w:r>
      <w:r>
        <w:rPr>
          <w:rStyle w:val="CharStyle19"/>
          <w:lang w:val="en-US" w:eastAsia="en-US"/>
        </w:rPr>
        <w:t xml:space="preserve">01.10.2020 №1576 </w:t>
      </w:r>
      <w:r>
        <w:rPr>
          <w:rStyle w:val="CharStyle19"/>
        </w:rPr>
        <w:t>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"</w:t>
      </w:r>
      <w:r>
        <w:rPr>
          <w:rStyle w:val="CharStyle19"/>
        </w:rPr>
        <w:t>ВЭБ.РФ</w:t>
      </w:r>
      <w:r>
        <w:rPr>
          <w:rStyle w:val="CharStyle19"/>
        </w:rPr>
        <w:t>", региональных гарантийных организаций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внеплановой проверки определения поставщика, Комиссия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9"/>
        </w:rPr>
        <w:t>У С Т А Н О В И Л А: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Порядок проведения электронного аукциона определен статьей </w:t>
      </w:r>
      <w:r>
        <w:rPr>
          <w:rStyle w:val="CharStyle19"/>
          <w:lang w:val="en-US" w:eastAsia="en-US"/>
        </w:rPr>
        <w:t xml:space="preserve">49 </w:t>
      </w:r>
      <w:r>
        <w:rPr>
          <w:rStyle w:val="CharStyle19"/>
        </w:rPr>
        <w:t xml:space="preserve">ФЗ «О контрактной </w:t>
      </w:r>
      <w:r>
        <w:rPr>
          <w:rStyle w:val="CharStyle19"/>
          <w:lang w:val="en-US" w:eastAsia="en-US"/>
        </w:rPr>
        <w:t>системе…».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Согласно ч. </w:t>
      </w:r>
      <w:r>
        <w:rPr>
          <w:rStyle w:val="CharStyle19"/>
          <w:lang w:val="en-US" w:eastAsia="en-US"/>
        </w:rPr>
        <w:t xml:space="preserve">5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49 </w:t>
      </w:r>
      <w:r>
        <w:rPr>
          <w:rStyle w:val="CharStyle19"/>
        </w:rPr>
        <w:t xml:space="preserve">ФЗ «О контрактной </w:t>
      </w:r>
      <w:r>
        <w:rPr>
          <w:rStyle w:val="CharStyle19"/>
          <w:lang w:val="en-US" w:eastAsia="en-US"/>
        </w:rPr>
        <w:t xml:space="preserve">системе…» </w:t>
      </w:r>
      <w:r>
        <w:rPr>
          <w:rStyle w:val="CharStyle19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>члены комиссии по осуществлению закупок: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4" w:val="left"/>
        </w:tabs>
        <w:bidi w:val="0"/>
        <w:spacing w:before="0" w:after="300" w:line="286" w:lineRule="auto"/>
        <w:ind w:left="0" w:right="0" w:firstLine="72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695" w:right="541" w:bottom="783" w:left="1106" w:header="0" w:footer="355" w:gutter="0"/>
          <w:cols w:space="720"/>
          <w:noEndnote/>
          <w:rtlGutter w:val="0"/>
          <w:docGrid w:linePitch="360"/>
        </w:sectPr>
      </w:pPr>
      <w:r>
        <w:rPr>
          <w:rStyle w:val="CharStyle19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п. </w:t>
      </w:r>
      <w:r>
        <w:rPr>
          <w:rStyle w:val="CharStyle19"/>
          <w:lang w:val="en-US" w:eastAsia="en-US"/>
        </w:rPr>
        <w:t xml:space="preserve">4 </w:t>
      </w:r>
      <w:r>
        <w:rPr>
          <w:rStyle w:val="CharStyle19"/>
        </w:rPr>
        <w:t xml:space="preserve">ч. </w:t>
      </w:r>
      <w:r>
        <w:rPr>
          <w:rStyle w:val="CharStyle19"/>
          <w:lang w:val="en-US" w:eastAsia="en-US"/>
        </w:rPr>
        <w:t xml:space="preserve">4 </w:t>
      </w:r>
      <w:r>
        <w:rPr>
          <w:rStyle w:val="CharStyle19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п.п. </w:t>
      </w:r>
      <w:r>
        <w:rPr>
          <w:rStyle w:val="CharStyle19"/>
          <w:lang w:val="en-US" w:eastAsia="en-US"/>
        </w:rPr>
        <w:t xml:space="preserve">1 - 8 </w:t>
      </w:r>
      <w:r>
        <w:rPr>
          <w:rStyle w:val="CharStyle19"/>
        </w:rPr>
        <w:t xml:space="preserve">ч. </w:t>
      </w:r>
      <w:r>
        <w:rPr>
          <w:rStyle w:val="CharStyle19"/>
          <w:lang w:val="en-US" w:eastAsia="en-US"/>
        </w:rPr>
        <w:t xml:space="preserve">12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48 </w:t>
      </w:r>
      <w:r>
        <w:rPr>
          <w:rStyle w:val="CharStyle19"/>
        </w:rPr>
        <w:t xml:space="preserve">настоящего Федерального закона; </w:t>
      </w:r>
      <w:r>
        <w:rPr>
          <w:rStyle w:val="CharStyle19"/>
          <w:sz w:val="24"/>
          <w:szCs w:val="24"/>
          <w:lang w:val="en-US" w:eastAsia="en-US"/>
        </w:rPr>
        <w:t>2026-2053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0" w:val="left"/>
        </w:tabs>
        <w:bidi w:val="0"/>
        <w:spacing w:before="0" w:after="0"/>
        <w:ind w:left="0" w:right="0" w:firstLine="760"/>
        <w:jc w:val="both"/>
      </w:pPr>
      <w:r>
        <w:rPr>
          <w:rStyle w:val="CharStyle19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</w:t>
      </w:r>
      <w:r>
        <w:rPr>
          <w:rStyle w:val="CharStyle19"/>
          <w:lang w:val="en-US" w:eastAsia="en-US"/>
        </w:rPr>
        <w:t xml:space="preserve">9 </w:t>
      </w:r>
      <w:r>
        <w:rPr>
          <w:rStyle w:val="CharStyle19"/>
        </w:rPr>
        <w:t xml:space="preserve">ч.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п. </w:t>
      </w:r>
      <w:r>
        <w:rPr>
          <w:rStyle w:val="CharStyle19"/>
          <w:lang w:val="en-US" w:eastAsia="en-US"/>
        </w:rPr>
        <w:t xml:space="preserve">9 </w:t>
      </w:r>
      <w:r>
        <w:rPr>
          <w:rStyle w:val="CharStyle19"/>
        </w:rPr>
        <w:t xml:space="preserve">ч.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ст. </w:t>
      </w:r>
      <w:r>
        <w:rPr>
          <w:rStyle w:val="CharStyle19"/>
          <w:lang w:val="en-US" w:eastAsia="en-US"/>
        </w:rPr>
        <w:t xml:space="preserve">14 </w:t>
      </w:r>
      <w:r>
        <w:rPr>
          <w:rStyle w:val="CharStyle19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0" w:val="left"/>
        </w:tabs>
        <w:bidi w:val="0"/>
        <w:spacing w:before="0" w:after="0"/>
        <w:ind w:left="0" w:right="0" w:firstLine="760"/>
        <w:jc w:val="both"/>
      </w:pPr>
      <w:r>
        <w:rPr>
          <w:rStyle w:val="CharStyle19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п.п. </w:t>
      </w:r>
      <w:r>
        <w:rPr>
          <w:rStyle w:val="CharStyle19"/>
          <w:lang w:val="en-US" w:eastAsia="en-US"/>
        </w:rPr>
        <w:t xml:space="preserve">1, 2, 4 - 7 </w:t>
      </w:r>
      <w:r>
        <w:rPr>
          <w:rStyle w:val="CharStyle19"/>
        </w:rPr>
        <w:t xml:space="preserve">ч. </w:t>
      </w:r>
      <w:r>
        <w:rPr>
          <w:rStyle w:val="CharStyle19"/>
          <w:lang w:val="en-US" w:eastAsia="en-US"/>
        </w:rPr>
        <w:t xml:space="preserve">17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48 </w:t>
      </w:r>
      <w:r>
        <w:rPr>
          <w:rStyle w:val="CharStyle19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9"/>
        </w:rPr>
        <w:t xml:space="preserve">Частью </w:t>
      </w:r>
      <w:r>
        <w:rPr>
          <w:rStyle w:val="CharStyle19"/>
          <w:lang w:val="en-US" w:eastAsia="en-US"/>
        </w:rPr>
        <w:t xml:space="preserve">17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48 </w:t>
      </w:r>
      <w:r>
        <w:rPr>
          <w:rStyle w:val="CharStyle19"/>
        </w:rPr>
        <w:t xml:space="preserve">ФЗ «О контрактной </w:t>
      </w:r>
      <w:r>
        <w:rPr>
          <w:rStyle w:val="CharStyle19"/>
          <w:lang w:val="en-US" w:eastAsia="en-US"/>
        </w:rPr>
        <w:t xml:space="preserve">системе…» </w:t>
      </w:r>
      <w:r>
        <w:rPr>
          <w:rStyle w:val="CharStyle19"/>
        </w:rPr>
        <w:t>установлены требования к содержанию протокола подведения итогов определения поставщика (подрядчика, исполнителя).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60"/>
        <w:jc w:val="both"/>
      </w:pPr>
      <w:r>
        <w:rPr>
          <w:rStyle w:val="CharStyle19"/>
        </w:rPr>
        <w:t xml:space="preserve">Согласно сведений единой информационной системы Заказчиком в разделе «Применение национального режима по ст. </w:t>
      </w:r>
      <w:r>
        <w:rPr>
          <w:rStyle w:val="CharStyle19"/>
          <w:lang w:val="en-US" w:eastAsia="en-US"/>
        </w:rPr>
        <w:t xml:space="preserve">14 </w:t>
      </w:r>
      <w:r>
        <w:rPr>
          <w:rStyle w:val="CharStyle19"/>
        </w:rPr>
        <w:t xml:space="preserve">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 xml:space="preserve">44-ФЗ» извещения об осуществлении закупки установлено: </w:t>
      </w:r>
      <w:r>
        <w:rPr>
          <w:rStyle w:val="CharStyle19"/>
          <w:i/>
          <w:iCs/>
        </w:rPr>
        <w:t xml:space="preserve">«Основанием для установки указания запретов, ограничений закупок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 происходящих из стран ЕАЭС, выполняемых работ, оказываемых услуг российскими лицами, а также лицами, зарегистрированными в странах ЕАЭС, является Постановление Правительства Российской Федерации о мерах по предоставлению национального режима от </w:t>
      </w:r>
      <w:r>
        <w:rPr>
          <w:rStyle w:val="CharStyle19"/>
          <w:i/>
          <w:iCs/>
          <w:lang w:val="en-US" w:eastAsia="en-US"/>
        </w:rPr>
        <w:t>23.12.2024 № 1875</w:t>
      </w:r>
      <w:r>
        <w:rPr>
          <w:rStyle w:val="CharStyle19"/>
          <w:lang w:val="en-US" w:eastAsia="en-US"/>
        </w:rPr>
        <w:t xml:space="preserve"> - </w:t>
      </w:r>
      <w:r>
        <w:rPr>
          <w:rStyle w:val="CharStyle19"/>
          <w:i/>
          <w:iCs/>
        </w:rPr>
        <w:t>Преимущество в отношении товаров российского происхождения, выполняемых работ, оказываемых услуг российскими лицами</w:t>
      </w:r>
      <w:r>
        <w:rPr>
          <w:rStyle w:val="CharStyle19"/>
        </w:rPr>
        <w:t>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9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9"/>
          <w:lang w:val="en-US" w:eastAsia="en-US"/>
        </w:rPr>
        <w:t xml:space="preserve">07.05.2026 </w:t>
      </w:r>
      <w:r>
        <w:rPr>
          <w:rStyle w:val="CharStyle19"/>
        </w:rPr>
        <w:t xml:space="preserve">№ИЭА1, на участие в закупке было подано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>(две) заявки, все заявки признаны комиссией по осуществлению закупок соответствующими требованиям извещения.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9"/>
        </w:rPr>
        <w:t>Оператором электронной площадки в материалы дела представлены заявки участников закупки в структурированной форме и приложенные к заявкам участников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0"/>
        <w:jc w:val="both"/>
      </w:pPr>
      <w:r>
        <w:rPr>
          <w:rStyle w:val="CharStyle19"/>
        </w:rPr>
        <w:t>закупки электронные документы.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9"/>
        </w:rPr>
        <w:t xml:space="preserve">Как подтверждается материалами дела, участник закупки с идентификационным номером </w:t>
      </w:r>
      <w:r>
        <w:rPr>
          <w:rStyle w:val="CharStyle19"/>
          <w:lang w:val="en-US" w:eastAsia="en-US"/>
        </w:rPr>
        <w:t xml:space="preserve">150 </w:t>
      </w:r>
      <w:r>
        <w:rPr>
          <w:rStyle w:val="CharStyle19"/>
        </w:rPr>
        <w:t xml:space="preserve">предлагает к поставке товар Реагенты диагностические к анализаторам мочи, РУ №ФСЗ </w:t>
      </w:r>
      <w:r>
        <w:rPr>
          <w:rStyle w:val="CharStyle19"/>
          <w:lang w:val="en-US" w:eastAsia="en-US"/>
        </w:rPr>
        <w:t xml:space="preserve">2012/08127, </w:t>
      </w:r>
      <w:r>
        <w:rPr>
          <w:rStyle w:val="CharStyle19"/>
        </w:rPr>
        <w:t xml:space="preserve">«Дируи Индастриал Ко., Лтд», страна происхождения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Китайская Народная Республика, участник закупки с идентификационным номером </w:t>
      </w:r>
      <w:r>
        <w:rPr>
          <w:rStyle w:val="CharStyle19"/>
          <w:lang w:val="en-US" w:eastAsia="en-US"/>
        </w:rPr>
        <w:t xml:space="preserve">119 </w:t>
      </w:r>
      <w:r>
        <w:rPr>
          <w:rStyle w:val="CharStyle19"/>
        </w:rPr>
        <w:t xml:space="preserve">предлагает к поставке товар Реагенты и расходные материалы для анализаторов, РУ №ФСЗ </w:t>
      </w:r>
      <w:r>
        <w:rPr>
          <w:rStyle w:val="CharStyle19"/>
          <w:lang w:val="en-US" w:eastAsia="en-US"/>
        </w:rPr>
        <w:t xml:space="preserve">2007/00975, </w:t>
      </w:r>
      <w:r>
        <w:rPr>
          <w:rStyle w:val="CharStyle19"/>
        </w:rPr>
        <w:t xml:space="preserve">Сименс Хелскеа Диагностикс Инк., страна происхождения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Польша.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9"/>
        </w:rPr>
        <w:t xml:space="preserve">Согласно представленных документов, характеристики товара, указанные участником закупки с идентификационным номером </w:t>
      </w:r>
      <w:r>
        <w:rPr>
          <w:rStyle w:val="CharStyle19"/>
          <w:lang w:val="en-US" w:eastAsia="en-US"/>
        </w:rPr>
        <w:t xml:space="preserve">150 </w:t>
      </w:r>
      <w:r>
        <w:rPr>
          <w:rStyle w:val="CharStyle19"/>
        </w:rPr>
        <w:t>соответствуют требованиям извещения об осуществлении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9"/>
        </w:rPr>
        <w:t xml:space="preserve">Заказчиком в письменных пояснениях указано: </w:t>
      </w:r>
      <w:r>
        <w:rPr>
          <w:rStyle w:val="CharStyle19"/>
          <w:i/>
          <w:iCs/>
        </w:rPr>
        <w:t xml:space="preserve">«Подтверждение производителя: на официальном сайте компании- производителя тест-полосок </w:t>
      </w:r>
      <w:r>
        <w:rPr>
          <w:rStyle w:val="CharStyle19"/>
          <w:i/>
          <w:iCs/>
          <w:lang w:val="en-US" w:eastAsia="en-US"/>
        </w:rPr>
        <w:t xml:space="preserve">Dirua </w:t>
      </w:r>
      <w:r>
        <w:rPr>
          <w:rStyle w:val="CharStyle19"/>
          <w:i/>
          <w:iCs/>
        </w:rPr>
        <w:t xml:space="preserve">прямо указана совместимость данной продукции с анализатором </w:t>
      </w:r>
      <w:r>
        <w:rPr>
          <w:rStyle w:val="CharStyle19"/>
          <w:i/>
          <w:iCs/>
          <w:lang w:val="en-US" w:eastAsia="en-US"/>
        </w:rPr>
        <w:t xml:space="preserve">Clinitek Status </w:t>
      </w:r>
      <w:r>
        <w:rPr>
          <w:rStyle w:val="CharStyle19"/>
          <w:i/>
          <w:iCs/>
        </w:rPr>
        <w:t xml:space="preserve">(скриншот прилагаем); Документация на изделие: В руководстве по использованию тест-полосок </w:t>
      </w:r>
      <w:r>
        <w:rPr>
          <w:rStyle w:val="CharStyle19"/>
          <w:i/>
          <w:iCs/>
          <w:lang w:val="en-US" w:eastAsia="en-US"/>
        </w:rPr>
        <w:t xml:space="preserve">Dirua </w:t>
      </w:r>
      <w:r>
        <w:rPr>
          <w:rStyle w:val="CharStyle19"/>
          <w:i/>
          <w:iCs/>
        </w:rPr>
        <w:t xml:space="preserve">содержится прямое указание на совместимость с указанным анализатором (копию прилагаем); Практический опыт: Наше учреждение использует тест-полоски </w:t>
      </w:r>
      <w:r>
        <w:rPr>
          <w:rStyle w:val="CharStyle19"/>
          <w:i/>
          <w:iCs/>
          <w:lang w:val="en-US" w:eastAsia="en-US"/>
        </w:rPr>
        <w:t xml:space="preserve">Dirua </w:t>
      </w:r>
      <w:r>
        <w:rPr>
          <w:rStyle w:val="CharStyle19"/>
          <w:i/>
          <w:iCs/>
        </w:rPr>
        <w:t xml:space="preserve">в сочетании с анализатором </w:t>
      </w:r>
      <w:r>
        <w:rPr>
          <w:rStyle w:val="CharStyle19"/>
          <w:i/>
          <w:iCs/>
          <w:lang w:val="en-US" w:eastAsia="en-US"/>
        </w:rPr>
        <w:t xml:space="preserve">Clinitek Status </w:t>
      </w:r>
      <w:r>
        <w:rPr>
          <w:rStyle w:val="CharStyle19"/>
          <w:i/>
          <w:iCs/>
        </w:rPr>
        <w:t>на протяжении нескольких лет. За весь период эксплуатации не зафиксировано ни одного случая, связанного с несоответствием качества исследований установленным требованиям или с некорректной работы оборудования из- за несовместимости компонентов.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9"/>
          <w:i/>
          <w:iCs/>
        </w:rPr>
        <w:t xml:space="preserve">Таким образом, применение тест-полосок </w:t>
      </w:r>
      <w:r>
        <w:rPr>
          <w:rStyle w:val="CharStyle19"/>
          <w:i/>
          <w:iCs/>
          <w:lang w:val="en-US" w:eastAsia="en-US"/>
        </w:rPr>
        <w:t xml:space="preserve">Dirua </w:t>
      </w:r>
      <w:r>
        <w:rPr>
          <w:rStyle w:val="CharStyle19"/>
          <w:i/>
          <w:iCs/>
        </w:rPr>
        <w:t xml:space="preserve">с анализатором </w:t>
      </w:r>
      <w:r>
        <w:rPr>
          <w:rStyle w:val="CharStyle19"/>
          <w:i/>
          <w:iCs/>
          <w:lang w:val="en-US" w:eastAsia="en-US"/>
        </w:rPr>
        <w:t xml:space="preserve">Clinitek Status </w:t>
      </w:r>
      <w:r>
        <w:rPr>
          <w:rStyle w:val="CharStyle19"/>
          <w:i/>
          <w:iCs/>
        </w:rPr>
        <w:t>имеет документальное подтверждение и подкреплено многолетней успешной практикой использования в нашем учреждении».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9"/>
        </w:rPr>
        <w:t>Комиссия Курского УФАС России изучила заявки участников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9"/>
        </w:rPr>
        <w:t xml:space="preserve">Материалами дела подтверждается, что заявка участника закупки с идентификационным номером </w:t>
      </w:r>
      <w:r>
        <w:rPr>
          <w:rStyle w:val="CharStyle19"/>
          <w:lang w:val="en-US" w:eastAsia="en-US"/>
        </w:rPr>
        <w:t xml:space="preserve">150 </w:t>
      </w:r>
      <w:r>
        <w:rPr>
          <w:rStyle w:val="CharStyle19"/>
        </w:rPr>
        <w:t>(победитель) соответствует требованиям извещения об осуществлении закупки и ФЗ «О контрактной системе</w:t>
      </w:r>
      <w:r>
        <w:rPr>
          <w:rStyle w:val="CharStyle19"/>
          <w:lang w:val="en-US" w:eastAsia="en-US"/>
        </w:rPr>
        <w:t xml:space="preserve">...», </w:t>
      </w:r>
      <w:r>
        <w:rPr>
          <w:rStyle w:val="CharStyle19"/>
        </w:rPr>
        <w:t>характеристики предлагаемого к поставке товара соответствуют характеристикам и показателям, определенным заказчиком в описании объекта закупки. В этой связи, комиссией по осуществлению закупки правомерно принято решение о соответствии заявки победителя.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60"/>
        <w:jc w:val="both"/>
      </w:pPr>
      <w:r>
        <w:rPr>
          <w:rStyle w:val="CharStyle19"/>
        </w:rPr>
        <w:t>Оценив в совокупности, всесторонне и взаимосвязи обстоятельства дела, документы и сведения, предоставленные сторонами в материалы дела, Комиссия приходит к выводу, что довод заявителя не нашел своего подтверждения материалами дела и признан необоснованным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9"/>
        </w:rPr>
        <w:t>Описание объекта закупки сформировано заказчиком в структурированной форме извещения об осуществлении закупки, а также размещено в форме электронного документа «Описание объекта закупки».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760"/>
        <w:jc w:val="both"/>
      </w:pPr>
      <w:r>
        <w:rPr>
          <w:rStyle w:val="CharStyle19"/>
        </w:rPr>
        <w:t xml:space="preserve">Как следует из материалов дела, заказчиком при описании объекта закупки применена позиция КТРУ </w:t>
      </w:r>
      <w:r>
        <w:rPr>
          <w:rStyle w:val="CharStyle19"/>
          <w:lang w:val="en-US" w:eastAsia="en-US"/>
        </w:rPr>
        <w:t xml:space="preserve">21.20.23.110-00000099 </w:t>
      </w:r>
      <w:r>
        <w:rPr>
          <w:rStyle w:val="CharStyle19"/>
        </w:rPr>
        <w:t>«Множественные аналиты мочи ИВД,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9"/>
        </w:rPr>
        <w:t xml:space="preserve">набор, колориметрический экспресс-анализ, клинический», установлены обязательные характеристики и их показатели, предусмотренные позицией КТРУ </w:t>
      </w:r>
      <w:r>
        <w:rPr>
          <w:rStyle w:val="CharStyle19"/>
          <w:lang w:val="en-US" w:eastAsia="en-US"/>
        </w:rPr>
        <w:t>21.20.23.110-00000099.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9"/>
        </w:rPr>
        <w:t xml:space="preserve">Согласно сведений ЕИС, позиция КТРУ </w:t>
      </w:r>
      <w:r>
        <w:rPr>
          <w:rStyle w:val="CharStyle19"/>
          <w:lang w:val="en-US" w:eastAsia="en-US"/>
        </w:rPr>
        <w:t xml:space="preserve">21.20.23.110-00000099 </w:t>
      </w:r>
      <w:r>
        <w:rPr>
          <w:rStyle w:val="CharStyle19"/>
        </w:rPr>
        <w:t>в разделе «Описание товара, работы, услуги» содержит три обязательные характеристики и их значения: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9"/>
          <w:i/>
          <w:iCs/>
          <w:lang w:val="en-US" w:eastAsia="en-US"/>
        </w:rPr>
        <w:t xml:space="preserve">«- </w:t>
      </w:r>
      <w:r>
        <w:rPr>
          <w:rStyle w:val="CharStyle19"/>
          <w:i/>
          <w:iCs/>
        </w:rPr>
        <w:t xml:space="preserve">Количество выполняемых исследований </w:t>
      </w:r>
      <w:r>
        <w:rPr>
          <w:rStyle w:val="CharStyle19"/>
          <w:i/>
          <w:iCs/>
          <w:lang w:val="en-US" w:eastAsia="en-US"/>
        </w:rPr>
        <w:t xml:space="preserve">– 100 </w:t>
      </w:r>
      <w:r>
        <w:rPr>
          <w:rStyle w:val="CharStyle19"/>
          <w:i/>
          <w:iCs/>
        </w:rPr>
        <w:t>штук;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9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  <w:i/>
          <w:iCs/>
        </w:rPr>
        <w:t xml:space="preserve">Метод </w:t>
      </w:r>
      <w:r>
        <w:rPr>
          <w:rStyle w:val="CharStyle19"/>
          <w:i/>
          <w:iCs/>
          <w:lang w:val="en-US" w:eastAsia="en-US"/>
        </w:rPr>
        <w:t xml:space="preserve">– </w:t>
      </w:r>
      <w:r>
        <w:rPr>
          <w:rStyle w:val="CharStyle19"/>
          <w:i/>
          <w:iCs/>
        </w:rPr>
        <w:t>Качественный/Полуколичественный;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3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  <w:i/>
          <w:iCs/>
        </w:rPr>
        <w:t xml:space="preserve">Назначение </w:t>
      </w:r>
      <w:r>
        <w:rPr>
          <w:rStyle w:val="CharStyle19"/>
          <w:i/>
          <w:iCs/>
          <w:lang w:val="en-US" w:eastAsia="en-US"/>
        </w:rPr>
        <w:t xml:space="preserve">- </w:t>
      </w:r>
      <w:r>
        <w:rPr>
          <w:rStyle w:val="CharStyle19"/>
          <w:i/>
          <w:iCs/>
        </w:rPr>
        <w:t xml:space="preserve">Для анализаторов серии </w:t>
      </w:r>
      <w:r>
        <w:rPr>
          <w:rStyle w:val="CharStyle19"/>
          <w:i/>
          <w:iCs/>
          <w:lang w:val="en-US" w:eastAsia="en-US"/>
        </w:rPr>
        <w:t xml:space="preserve">Uriscan/Для </w:t>
      </w:r>
      <w:r>
        <w:rPr>
          <w:rStyle w:val="CharStyle19"/>
          <w:i/>
          <w:iCs/>
        </w:rPr>
        <w:t xml:space="preserve">анализаторов серии </w:t>
      </w:r>
      <w:r>
        <w:rPr>
          <w:rStyle w:val="CharStyle19"/>
          <w:i/>
          <w:iCs/>
          <w:lang w:val="en-US" w:eastAsia="en-US"/>
        </w:rPr>
        <w:t xml:space="preserve">iChem/Для </w:t>
      </w:r>
      <w:r>
        <w:rPr>
          <w:rStyle w:val="CharStyle19"/>
          <w:i/>
          <w:iCs/>
        </w:rPr>
        <w:t xml:space="preserve">анализаторов </w:t>
      </w:r>
      <w:r>
        <w:rPr>
          <w:rStyle w:val="CharStyle19"/>
          <w:i/>
          <w:iCs/>
          <w:lang w:val="en-US" w:eastAsia="en-US"/>
        </w:rPr>
        <w:t xml:space="preserve">Albacore U500, Rodien Alba U-500, Rochen Alba U-120/Для </w:t>
      </w:r>
      <w:r>
        <w:rPr>
          <w:rStyle w:val="CharStyle19"/>
          <w:i/>
          <w:iCs/>
        </w:rPr>
        <w:t xml:space="preserve">анализаторов </w:t>
      </w:r>
      <w:r>
        <w:rPr>
          <w:rStyle w:val="CharStyle19"/>
          <w:i/>
          <w:iCs/>
          <w:lang w:val="en-US" w:eastAsia="en-US"/>
        </w:rPr>
        <w:t xml:space="preserve">URIT-1500, UriLit </w:t>
      </w:r>
      <w:r>
        <w:rPr>
          <w:rStyle w:val="CharStyle19"/>
          <w:i/>
          <w:iCs/>
        </w:rPr>
        <w:t xml:space="preserve">1500/Для анализаторов </w:t>
      </w:r>
      <w:r>
        <w:rPr>
          <w:rStyle w:val="CharStyle19"/>
          <w:i/>
          <w:iCs/>
          <w:lang w:val="en-US" w:eastAsia="en-US"/>
        </w:rPr>
        <w:t xml:space="preserve">URIT-1500, 1600, 1610, UriLit 1500, 1600, URIT- 330, </w:t>
      </w:r>
      <w:r>
        <w:rPr>
          <w:rStyle w:val="CharStyle19"/>
          <w:i/>
          <w:iCs/>
        </w:rPr>
        <w:t xml:space="preserve">560/Для анализаторов </w:t>
      </w:r>
      <w:r>
        <w:rPr>
          <w:rStyle w:val="CharStyle19"/>
          <w:i/>
          <w:iCs/>
          <w:lang w:val="en-US" w:eastAsia="en-US"/>
        </w:rPr>
        <w:t xml:space="preserve">URIT-1600, 1610, UriLit 1600, URIT-560/Для </w:t>
      </w:r>
      <w:r>
        <w:rPr>
          <w:rStyle w:val="CharStyle19"/>
          <w:i/>
          <w:iCs/>
        </w:rPr>
        <w:t xml:space="preserve">анализаторов </w:t>
      </w:r>
      <w:r>
        <w:rPr>
          <w:rStyle w:val="CharStyle19"/>
          <w:i/>
          <w:iCs/>
          <w:lang w:val="en-US" w:eastAsia="en-US"/>
        </w:rPr>
        <w:t xml:space="preserve">URIT-50, 180, </w:t>
      </w:r>
      <w:r>
        <w:rPr>
          <w:rStyle w:val="CharStyle19"/>
          <w:i/>
          <w:iCs/>
        </w:rPr>
        <w:t xml:space="preserve">50В, 500С, </w:t>
      </w:r>
      <w:r>
        <w:rPr>
          <w:rStyle w:val="CharStyle19"/>
          <w:i/>
          <w:iCs/>
          <w:lang w:val="en-US" w:eastAsia="en-US"/>
        </w:rPr>
        <w:t xml:space="preserve">330, 31, 560, UriLit150, </w:t>
      </w:r>
      <w:r>
        <w:rPr>
          <w:rStyle w:val="CharStyle19"/>
          <w:i/>
          <w:iCs/>
        </w:rPr>
        <w:t xml:space="preserve">500С/Для анализаторов </w:t>
      </w:r>
      <w:r>
        <w:rPr>
          <w:rStyle w:val="CharStyle19"/>
          <w:i/>
          <w:iCs/>
          <w:lang w:val="en-US" w:eastAsia="en-US"/>
        </w:rPr>
        <w:t xml:space="preserve">UroMeter 120, UroMeter </w:t>
      </w:r>
      <w:r>
        <w:rPr>
          <w:rStyle w:val="CharStyle19"/>
          <w:i/>
          <w:iCs/>
        </w:rPr>
        <w:t xml:space="preserve">720/Для анализаторов серии </w:t>
      </w:r>
      <w:r>
        <w:rPr>
          <w:rStyle w:val="CharStyle19"/>
          <w:i/>
          <w:iCs/>
          <w:lang w:val="en-US" w:eastAsia="en-US"/>
        </w:rPr>
        <w:t xml:space="preserve">FUS/Для </w:t>
      </w:r>
      <w:r>
        <w:rPr>
          <w:rStyle w:val="CharStyle19"/>
          <w:i/>
          <w:iCs/>
        </w:rPr>
        <w:t xml:space="preserve">анализатора </w:t>
      </w:r>
      <w:r>
        <w:rPr>
          <w:rStyle w:val="CharStyle19"/>
          <w:i/>
          <w:iCs/>
          <w:lang w:val="en-US" w:eastAsia="en-US"/>
        </w:rPr>
        <w:t xml:space="preserve">KU-2800/Для </w:t>
      </w:r>
      <w:r>
        <w:rPr>
          <w:rStyle w:val="CharStyle19"/>
          <w:i/>
          <w:iCs/>
        </w:rPr>
        <w:t xml:space="preserve">анализатора </w:t>
      </w:r>
      <w:r>
        <w:rPr>
          <w:rStyle w:val="CharStyle19"/>
          <w:i/>
          <w:iCs/>
          <w:lang w:val="en-US" w:eastAsia="en-US"/>
        </w:rPr>
        <w:t xml:space="preserve">US-1680/Для </w:t>
      </w:r>
      <w:r>
        <w:rPr>
          <w:rStyle w:val="CharStyle19"/>
          <w:i/>
          <w:iCs/>
        </w:rPr>
        <w:t xml:space="preserve">анализаторов </w:t>
      </w:r>
      <w:r>
        <w:rPr>
          <w:rStyle w:val="CharStyle19"/>
          <w:i/>
          <w:iCs/>
          <w:lang w:val="en-US" w:eastAsia="en-US"/>
        </w:rPr>
        <w:t xml:space="preserve">U1600, U1602, U3600, U3602/Для </w:t>
      </w:r>
      <w:r>
        <w:rPr>
          <w:rStyle w:val="CharStyle19"/>
          <w:i/>
          <w:iCs/>
        </w:rPr>
        <w:t xml:space="preserve">анализаторов серий Н, НС/Для ручной постановки анализа/Для анализаторов серии </w:t>
      </w:r>
      <w:r>
        <w:rPr>
          <w:rStyle w:val="CharStyle19"/>
          <w:i/>
          <w:iCs/>
          <w:lang w:val="en-US" w:eastAsia="en-US"/>
        </w:rPr>
        <w:t xml:space="preserve">UA </w:t>
      </w:r>
      <w:r>
        <w:rPr>
          <w:rStyle w:val="CharStyle19"/>
          <w:i/>
          <w:iCs/>
        </w:rPr>
        <w:t xml:space="preserve">и станций анализа мочи серии </w:t>
      </w:r>
      <w:r>
        <w:rPr>
          <w:rStyle w:val="CharStyle19"/>
          <w:i/>
          <w:iCs/>
          <w:lang w:val="en-US" w:eastAsia="en-US"/>
        </w:rPr>
        <w:t xml:space="preserve">EU/Для </w:t>
      </w:r>
      <w:r>
        <w:rPr>
          <w:rStyle w:val="CharStyle19"/>
          <w:i/>
          <w:iCs/>
        </w:rPr>
        <w:t xml:space="preserve">анализаторов серии Н/Для анализаторов </w:t>
      </w:r>
      <w:r>
        <w:rPr>
          <w:rStyle w:val="CharStyle19"/>
          <w:i/>
          <w:iCs/>
          <w:lang w:val="en-US" w:eastAsia="en-US"/>
        </w:rPr>
        <w:t xml:space="preserve">Aution </w:t>
      </w:r>
      <w:r>
        <w:rPr>
          <w:rStyle w:val="CharStyle19"/>
          <w:i/>
          <w:iCs/>
        </w:rPr>
        <w:t xml:space="preserve">МАХ, </w:t>
      </w:r>
      <w:r>
        <w:rPr>
          <w:rStyle w:val="CharStyle19"/>
          <w:i/>
          <w:iCs/>
          <w:lang w:val="en-US" w:eastAsia="en-US"/>
        </w:rPr>
        <w:t xml:space="preserve">Eleven, Pocket </w:t>
      </w:r>
      <w:r>
        <w:rPr>
          <w:rStyle w:val="CharStyle19"/>
          <w:i/>
          <w:iCs/>
        </w:rPr>
        <w:t xml:space="preserve">СНЕМ/Для анализаторов серии </w:t>
      </w:r>
      <w:r>
        <w:rPr>
          <w:rStyle w:val="CharStyle19"/>
          <w:i/>
          <w:iCs/>
          <w:lang w:val="en-US" w:eastAsia="en-US"/>
        </w:rPr>
        <w:t xml:space="preserve">Clinitek/Для </w:t>
      </w:r>
      <w:r>
        <w:rPr>
          <w:rStyle w:val="CharStyle19"/>
          <w:i/>
          <w:iCs/>
        </w:rPr>
        <w:t xml:space="preserve">анализаторов серии </w:t>
      </w:r>
      <w:r>
        <w:rPr>
          <w:rStyle w:val="CharStyle19"/>
          <w:i/>
          <w:iCs/>
          <w:lang w:val="en-US" w:eastAsia="en-US"/>
        </w:rPr>
        <w:t xml:space="preserve">Bayer </w:t>
      </w:r>
      <w:r>
        <w:rPr>
          <w:rStyle w:val="CharStyle19"/>
          <w:i/>
          <w:iCs/>
        </w:rPr>
        <w:t xml:space="preserve">/Для анализаторов серии </w:t>
      </w:r>
      <w:r>
        <w:rPr>
          <w:rStyle w:val="CharStyle19"/>
          <w:i/>
          <w:iCs/>
          <w:lang w:val="en-US" w:eastAsia="en-US"/>
        </w:rPr>
        <w:t xml:space="preserve">CL/Для </w:t>
      </w:r>
      <w:r>
        <w:rPr>
          <w:rStyle w:val="CharStyle19"/>
          <w:i/>
          <w:iCs/>
        </w:rPr>
        <w:t xml:space="preserve">анализаторов серии </w:t>
      </w:r>
      <w:r>
        <w:rPr>
          <w:rStyle w:val="CharStyle19"/>
          <w:i/>
          <w:iCs/>
          <w:lang w:val="en-US" w:eastAsia="en-US"/>
        </w:rPr>
        <w:t xml:space="preserve">Miditron/Для </w:t>
      </w:r>
      <w:r>
        <w:rPr>
          <w:rStyle w:val="CharStyle19"/>
          <w:i/>
          <w:iCs/>
        </w:rPr>
        <w:t xml:space="preserve">анализаторов серий </w:t>
      </w:r>
      <w:r>
        <w:rPr>
          <w:rStyle w:val="CharStyle19"/>
          <w:i/>
          <w:iCs/>
          <w:lang w:val="en-US" w:eastAsia="en-US"/>
        </w:rPr>
        <w:t xml:space="preserve">AUTION, </w:t>
      </w:r>
      <w:r>
        <w:rPr>
          <w:rStyle w:val="CharStyle19"/>
          <w:i/>
          <w:iCs/>
        </w:rPr>
        <w:t xml:space="preserve">РОСКЕТСНЕМ/Для анализаторов серии </w:t>
      </w:r>
      <w:r>
        <w:rPr>
          <w:rStyle w:val="CharStyle19"/>
          <w:i/>
          <w:iCs/>
          <w:lang w:val="en-US" w:eastAsia="en-US"/>
        </w:rPr>
        <w:t xml:space="preserve">Combilyzer </w:t>
      </w:r>
      <w:r>
        <w:rPr>
          <w:rStyle w:val="CharStyle19"/>
          <w:i/>
          <w:iCs/>
        </w:rPr>
        <w:t xml:space="preserve">13/Для анализаторов серии </w:t>
      </w:r>
      <w:r>
        <w:rPr>
          <w:rStyle w:val="CharStyle19"/>
          <w:i/>
          <w:iCs/>
          <w:lang w:val="en-US" w:eastAsia="en-US"/>
        </w:rPr>
        <w:t xml:space="preserve">UС-1800/Для </w:t>
      </w:r>
      <w:r>
        <w:rPr>
          <w:rStyle w:val="CharStyle19"/>
          <w:i/>
          <w:iCs/>
        </w:rPr>
        <w:t xml:space="preserve">анализаторов серии </w:t>
      </w:r>
      <w:r>
        <w:rPr>
          <w:rStyle w:val="CharStyle19"/>
          <w:i/>
          <w:iCs/>
          <w:lang w:val="en-US" w:eastAsia="en-US"/>
        </w:rPr>
        <w:t xml:space="preserve">Combi-Scan/Для </w:t>
      </w:r>
      <w:r>
        <w:rPr>
          <w:rStyle w:val="CharStyle19"/>
          <w:i/>
          <w:iCs/>
        </w:rPr>
        <w:t xml:space="preserve">анализаторов серии </w:t>
      </w:r>
      <w:r>
        <w:rPr>
          <w:rStyle w:val="CharStyle19"/>
          <w:i/>
          <w:iCs/>
          <w:lang w:val="en-US" w:eastAsia="en-US"/>
        </w:rPr>
        <w:t xml:space="preserve">Urometer </w:t>
      </w:r>
      <w:r>
        <w:rPr>
          <w:rStyle w:val="CharStyle19"/>
          <w:i/>
          <w:iCs/>
        </w:rPr>
        <w:t xml:space="preserve">600/Для анализатора серии </w:t>
      </w:r>
      <w:r>
        <w:rPr>
          <w:rStyle w:val="CharStyle19"/>
          <w:i/>
          <w:iCs/>
          <w:lang w:val="en-US" w:eastAsia="en-US"/>
        </w:rPr>
        <w:t xml:space="preserve">Urisys </w:t>
      </w:r>
      <w:r>
        <w:rPr>
          <w:rStyle w:val="CharStyle19"/>
          <w:i/>
          <w:iCs/>
        </w:rPr>
        <w:t xml:space="preserve">1100/Для анализаторов серий </w:t>
      </w:r>
      <w:r>
        <w:rPr>
          <w:rStyle w:val="CharStyle19"/>
          <w:i/>
          <w:iCs/>
          <w:lang w:val="en-US" w:eastAsia="en-US"/>
        </w:rPr>
        <w:t xml:space="preserve">BW-3000, BW-901/Для </w:t>
      </w:r>
      <w:r>
        <w:rPr>
          <w:rStyle w:val="CharStyle19"/>
          <w:i/>
          <w:iCs/>
        </w:rPr>
        <w:t xml:space="preserve">анализаторов серии </w:t>
      </w:r>
      <w:r>
        <w:rPr>
          <w:rStyle w:val="CharStyle19"/>
          <w:i/>
          <w:iCs/>
          <w:lang w:val="en-US" w:eastAsia="en-US"/>
        </w:rPr>
        <w:t xml:space="preserve">Сobas u 411 </w:t>
      </w:r>
      <w:r>
        <w:rPr>
          <w:rStyle w:val="CharStyle19"/>
          <w:i/>
          <w:iCs/>
        </w:rPr>
        <w:t>/Для анализаторов открытого типа».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9"/>
        </w:rPr>
        <w:t xml:space="preserve">Постановлением Правительства РФ от </w:t>
      </w:r>
      <w:r>
        <w:rPr>
          <w:rStyle w:val="CharStyle19"/>
          <w:lang w:val="en-US" w:eastAsia="en-US"/>
        </w:rPr>
        <w:t xml:space="preserve">08.02.2017 №145 </w:t>
      </w:r>
      <w:r>
        <w:rPr>
          <w:rStyle w:val="CharStyle19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Постановление Правительства РФ от </w:t>
      </w:r>
      <w:r>
        <w:rPr>
          <w:rStyle w:val="CharStyle19"/>
          <w:lang w:val="en-US" w:eastAsia="en-US"/>
        </w:rPr>
        <w:t xml:space="preserve">08.02.2017 №145) </w:t>
      </w:r>
      <w:r>
        <w:rPr>
          <w:rStyle w:val="CharStyle19"/>
        </w:rPr>
        <w:t xml:space="preserve">утверждены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Правила).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9"/>
        </w:rPr>
        <w:t xml:space="preserve">Согласно п.4 Правил Заказчики обязаны применять информацию, включенную в позицию каталога в соответствии с подпунктами "а"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"г" и "е"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"з" пункта </w:t>
      </w:r>
      <w:r>
        <w:rPr>
          <w:rStyle w:val="CharStyle19"/>
          <w:lang w:val="en-US" w:eastAsia="en-US"/>
        </w:rPr>
        <w:t xml:space="preserve">10 </w:t>
      </w:r>
      <w:r>
        <w:rPr>
          <w:rStyle w:val="CharStyle19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9"/>
          <w:lang w:val="en-US" w:eastAsia="en-US"/>
        </w:rPr>
        <w:t xml:space="preserve">8 </w:t>
      </w:r>
      <w:r>
        <w:rPr>
          <w:rStyle w:val="CharStyle19"/>
        </w:rPr>
        <w:t xml:space="preserve">февраля </w:t>
      </w:r>
      <w:r>
        <w:rPr>
          <w:rStyle w:val="CharStyle19"/>
          <w:lang w:val="en-US" w:eastAsia="en-US"/>
        </w:rPr>
        <w:t xml:space="preserve">2017 </w:t>
      </w:r>
      <w:r>
        <w:rPr>
          <w:rStyle w:val="CharStyle19"/>
        </w:rPr>
        <w:t xml:space="preserve">г. </w:t>
      </w:r>
      <w:r>
        <w:rPr>
          <w:rStyle w:val="CharStyle19"/>
          <w:lang w:val="en-US" w:eastAsia="en-US"/>
        </w:rPr>
        <w:t xml:space="preserve">№145, </w:t>
      </w:r>
      <w:r>
        <w:rPr>
          <w:rStyle w:val="CharStyle19"/>
        </w:rPr>
        <w:t>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7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</w:rPr>
        <w:t>наименование товара, работы, услуги;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1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6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</w:rPr>
        <w:t>описание товара, работы, услуги (при наличии такого описания в позиции).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В силу п.5 Правил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>Федерального закона, которые не предусмотрены в позиции каталога, за исключением случаев, определенных п.5 Правил.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>Учитывая изложенное, Заказчику необходимо при писании объекта закупки руководствоваться строго требованиями позиции КТРУ.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К характеристике «Назначение» Заказчик установил значение «Для анализаторов открытого типа». При этом значение «Совместимы с анализаторами мочи </w:t>
      </w:r>
      <w:r>
        <w:rPr>
          <w:rStyle w:val="CharStyle19"/>
          <w:lang w:val="en-US" w:eastAsia="en-US"/>
        </w:rPr>
        <w:t xml:space="preserve">Clinitek Status» </w:t>
      </w:r>
      <w:r>
        <w:rPr>
          <w:rStyle w:val="CharStyle19"/>
        </w:rPr>
        <w:t xml:space="preserve">определен Заказчиком как отдельная дополнительная характеристика, чего быть не должно в силу требований ч.3 ст.7, ч.1 ст.33 ФЗ «О контрактной </w:t>
      </w:r>
      <w:r>
        <w:rPr>
          <w:rStyle w:val="CharStyle19"/>
          <w:lang w:val="en-US" w:eastAsia="en-US"/>
        </w:rPr>
        <w:t xml:space="preserve">системе…», </w:t>
      </w:r>
      <w:r>
        <w:rPr>
          <w:rStyle w:val="CharStyle19"/>
        </w:rPr>
        <w:t>п.4 Правил.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При таких обстоятельствах, заказчиком при формировании описания объекта закупки нарушены требования ч.3 ст.7, ч.1 ст.33 ФЗ «О контрактной </w:t>
      </w:r>
      <w:r>
        <w:rPr>
          <w:rStyle w:val="CharStyle19"/>
          <w:lang w:val="en-US" w:eastAsia="en-US"/>
        </w:rPr>
        <w:t xml:space="preserve">системе…», </w:t>
      </w:r>
      <w:r>
        <w:rPr>
          <w:rStyle w:val="CharStyle19"/>
        </w:rPr>
        <w:t xml:space="preserve">п.4 Правил, что содержит признаки состава административного правонарушения, ответственность за совершение которого предусмотрена ч. </w:t>
      </w:r>
      <w:r>
        <w:rPr>
          <w:rStyle w:val="CharStyle19"/>
          <w:lang w:val="en-US" w:eastAsia="en-US"/>
        </w:rPr>
        <w:t xml:space="preserve">5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7.30.1 </w:t>
      </w:r>
      <w:r>
        <w:rPr>
          <w:rStyle w:val="CharStyle19"/>
        </w:rPr>
        <w:t>КоАП РФ.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>Выявленные в действиях заказчика нарушения действующего законодательства РФ не повлияли на результат определения поставщика (подрядчика, исполнителя), в связи с чем предписание об устранении выявленных нарушений не выдается.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9"/>
        </w:rPr>
        <w:t xml:space="preserve"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</w:t>
      </w:r>
      <w:r>
        <w:rPr>
          <w:rStyle w:val="CharStyle19"/>
          <w:lang w:val="en-US" w:eastAsia="en-US"/>
        </w:rPr>
        <w:t xml:space="preserve">05.04.2013 </w:t>
      </w:r>
      <w:r>
        <w:rPr>
          <w:rStyle w:val="CharStyle19"/>
        </w:rPr>
        <w:t>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9"/>
          <w:b/>
          <w:bCs/>
        </w:rPr>
        <w:t>Р Е Ш И Л А: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9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>Признать жалобу индивидуального предпринимателя Подоляцкого Николая Сергеевича необоснованной.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9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Признать заказчика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областное бюджетное учреждение здравоохранения «Октябрьская центральная районная больница» нарушившим требования ч.3 ст.7, ч.1 ст.33 Федерального закона от </w:t>
      </w:r>
      <w:r>
        <w:rPr>
          <w:rStyle w:val="CharStyle19"/>
          <w:lang w:val="en-US" w:eastAsia="en-US"/>
        </w:rPr>
        <w:t xml:space="preserve">05.04.2013 </w:t>
      </w:r>
      <w:r>
        <w:rPr>
          <w:rStyle w:val="CharStyle19"/>
        </w:rPr>
        <w:t xml:space="preserve">№44-ФЗ «О контрактной системе в сфере закупок товаров, работ, услуг для обеспечения государственных и муниципальных нужд», п.4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</w:t>
      </w:r>
      <w:r>
        <w:rPr>
          <w:rStyle w:val="CharStyle19"/>
          <w:lang w:val="en-US" w:eastAsia="en-US"/>
        </w:rPr>
        <w:t>08.02.2017 №145.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9" w:val="left"/>
        </w:tabs>
        <w:bidi w:val="0"/>
        <w:spacing w:before="0" w:after="300"/>
        <w:ind w:left="0" w:right="0" w:firstLine="720"/>
        <w:jc w:val="both"/>
      </w:pPr>
      <w:r>
        <w:rPr>
          <w:rStyle w:val="CharStyle19"/>
        </w:rPr>
        <w:t>Предписание об устранении выявленных нарушений не выдавать, поскольку выявленные в действиях заказчика нарушения действующего законодательства РФ не повлияли на результат определения поставщика (подрядчика, исполнителя).</w:t>
      </w:r>
      <w:r>
        <w:br w:type="page"/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7" w:val="left"/>
        </w:tabs>
        <w:bidi w:val="0"/>
        <w:spacing w:before="0" w:after="320"/>
        <w:ind w:left="0" w:right="0" w:firstLine="740"/>
        <w:jc w:val="both"/>
      </w:pPr>
      <w:r>
        <w:rPr>
          <w:rStyle w:val="CharStyle19"/>
        </w:rPr>
        <w:t xml:space="preserve">Передать материалы дела </w:t>
      </w:r>
      <w:r>
        <w:rPr>
          <w:rStyle w:val="CharStyle19"/>
          <w:lang w:val="en-US" w:eastAsia="en-US"/>
        </w:rPr>
        <w:t xml:space="preserve">№046/06/105-220/2026 </w:t>
      </w:r>
      <w:r>
        <w:rPr>
          <w:rStyle w:val="CharStyle19"/>
        </w:rPr>
        <w:t>уполномоченному должностному лицу Курского УФАС России для рассмотрения вопроса о возбуждении административного производства в порядке, предусмотренном КоАП РФ.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9"/>
          <w:i/>
          <w:iCs/>
        </w:rPr>
        <w:t>Настоящее решение может быть обжаловано в судебном порядке в течение трех месяцев со дня его принятия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633" w:right="537" w:bottom="1407" w:left="108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82600" distB="344170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482600</wp:posOffset>
                </wp:positionV>
                <wp:extent cx="182245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9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149999999999999pt;margin-top:38.pt;width:143.5pt;height:19.699999999999999pt;z-index:-125829375;mso-wrap-distance-left:0;mso-wrap-distance-top:38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9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52450" distB="0" distL="0" distR="1786255" simplePos="0" relativeHeight="125829380" behindDoc="0" locked="0" layoutInCell="1" allowOverlap="1">
            <wp:simplePos x="0" y="0"/>
            <wp:positionH relativeFrom="page">
              <wp:posOffset>2655570</wp:posOffset>
            </wp:positionH>
            <wp:positionV relativeFrom="paragraph">
              <wp:posOffset>552450</wp:posOffset>
            </wp:positionV>
            <wp:extent cx="359410" cy="5245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960755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34999999999999pt;margin-top:75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643890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20000000000002pt;margin-top:50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82600" distB="344170" distL="0" distR="0" simplePos="0" relativeHeight="125829381" behindDoc="0" locked="0" layoutInCell="1" allowOverlap="1">
                <wp:simplePos x="0" y="0"/>
                <wp:positionH relativeFrom="page">
                  <wp:posOffset>6127115</wp:posOffset>
                </wp:positionH>
                <wp:positionV relativeFrom="paragraph">
                  <wp:posOffset>482600</wp:posOffset>
                </wp:positionV>
                <wp:extent cx="1063625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9"/>
                                <w:sz w:val="28"/>
                                <w:szCs w:val="28"/>
                              </w:rPr>
                              <w:t>М.В.Волкова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2.44999999999999pt;margin-top:38.pt;width:83.75pt;height:19.699999999999999pt;z-index:-125829372;mso-wrap-distance-left:0;mso-wrap-distance-top:38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9"/>
                          <w:sz w:val="28"/>
                          <w:szCs w:val="28"/>
                        </w:rPr>
                        <w:t>М.В.Волкова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Волкова Марина Викторовна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18C488D728D735F69EEDA1AB0E6CE23F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Действителен с 27.01.2026 </w:t>
      </w:r>
      <w:r>
        <w:rPr>
          <w:rStyle w:val="CharStyle34"/>
          <w:color w:val="5C5C5C"/>
        </w:rPr>
        <w:t xml:space="preserve">по </w:t>
      </w:r>
      <w:r>
        <w:rPr>
          <w:rStyle w:val="CharStyle34"/>
        </w:rPr>
        <w:t>22.04.2027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9"/>
          <w:sz w:val="28"/>
          <w:szCs w:val="28"/>
        </w:rPr>
        <w:t>Членыкомиссии: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25400</wp:posOffset>
            </wp:positionV>
            <wp:extent cx="389890" cy="56070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467360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40000000000001pt;margin-top:36.80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150495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25pt;margin-top:11.8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9"/>
          <w:sz w:val="28"/>
          <w:szCs w:val="28"/>
        </w:rPr>
        <w:t>Т.Ю. Рагулина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РАГУЛИНА ТАТЬЯНА ЮРЬЕВНА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</w:rPr>
        <w:t>00А5401</w:t>
      </w:r>
      <w:r>
        <w:rPr>
          <w:rStyle w:val="CharStyle34"/>
          <w:lang w:val="en-US" w:eastAsia="en-US"/>
        </w:rPr>
        <w:t>14FAB674D32DCD80979E543AFD</w:t>
      </w:r>
      <w:r>
        <w:rPr>
          <w:rStyle w:val="CharStyle34"/>
          <w:lang w:val="en-US" w:eastAsia="en-US"/>
        </w:rPr>
        <w:t>7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6130925</wp:posOffset>
                </wp:positionH>
                <wp:positionV relativeFrom="paragraph">
                  <wp:posOffset>114300</wp:posOffset>
                </wp:positionV>
                <wp:extent cx="1057910" cy="252730"/>
                <wp:wrapSquare wrapText="left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9"/>
                                <w:sz w:val="28"/>
                                <w:szCs w:val="28"/>
                              </w:rPr>
                              <w:t>А.И. Ченцова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2.75pt;margin-top:9.pt;width:83.299999999999997pt;height:19.900000000000002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9"/>
                          <w:sz w:val="28"/>
                          <w:szCs w:val="28"/>
                        </w:rPr>
                        <w:t>А.И. Ченцова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4"/>
        </w:rPr>
        <w:t xml:space="preserve">Действителен с </w:t>
      </w:r>
      <w:r>
        <w:rPr>
          <w:rStyle w:val="CharStyle34"/>
          <w:color w:val="5C5C5C"/>
        </w:rPr>
        <w:t>20.1</w:t>
      </w:r>
      <w:r>
        <w:rPr>
          <w:rStyle w:val="CharStyle34"/>
          <w:color w:val="292929"/>
        </w:rPr>
        <w:t>1</w:t>
      </w:r>
      <w:r>
        <w:rPr>
          <w:rStyle w:val="CharStyle34"/>
          <w:color w:val="5C5C5C"/>
        </w:rPr>
        <w:t>.2025 по 1</w:t>
      </w:r>
      <w:r>
        <w:rPr>
          <w:rStyle w:val="CharStyle34"/>
        </w:rPr>
        <w:t>3.02.2027</w:t>
      </w:r>
    </w:p>
    <w:p>
      <w:pPr>
        <w:framePr w:w="614" w:h="883" w:hSpace="2813" w:wrap="notBeside" w:vAnchor="text" w:hAnchor="text" w:x="3039" w:y="1"/>
        <w:widowControl w:val="0"/>
        <w:rPr>
          <w:sz w:val="2"/>
          <w:szCs w:val="2"/>
        </w:rPr>
      </w:pPr>
      <w:r>
        <w:drawing>
          <wp:inline>
            <wp:extent cx="389890" cy="560705"/>
            <wp:docPr id="31" name="Picutr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607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929130" distR="2411095" simplePos="0" relativeHeight="125829386" behindDoc="0" locked="0" layoutInCell="1" allowOverlap="1">
                <wp:simplePos x="0" y="0"/>
                <wp:positionH relativeFrom="column">
                  <wp:posOffset>2423160</wp:posOffset>
                </wp:positionH>
                <wp:positionV relativeFrom="paragraph">
                  <wp:posOffset>445135</wp:posOffset>
                </wp:positionV>
                <wp:extent cx="1283335" cy="10033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190.80000000000001pt;margin-top:35.050000000000004pt;width:101.05pt;height:7.9000000000000004pt;z-index:-125829367;mso-wrap-distance-left:151.90000000000001pt;mso-wrap-distance-right:189.84999999999999pt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929130" distR="2411095" simplePos="0" relativeHeight="125829388" behindDoc="0" locked="0" layoutInCell="1" allowOverlap="1">
                <wp:simplePos x="0" y="0"/>
                <wp:positionH relativeFrom="column">
                  <wp:posOffset>2383155</wp:posOffset>
                </wp:positionH>
                <wp:positionV relativeFrom="paragraph">
                  <wp:posOffset>128270</wp:posOffset>
                </wp:positionV>
                <wp:extent cx="1722120" cy="25908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187.65000000000001pt;margin-top:10.1pt;width:135.59999999999999pt;height:20.400000000000002pt;z-index:-125829365;mso-wrap-distance-left:151.90000000000001pt;mso-wrap-distance-right:189.84999999999999pt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ЧЕНЦОВА АНАСТАСИЯ ИГОРЕВНА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00F10A097F9B6FFA220D90FE94464DFE3D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3080" w:line="240" w:lineRule="auto"/>
        <w:ind w:right="0" w:firstLine="0"/>
        <w:jc w:val="left"/>
      </w:pPr>
      <w:r>
        <w:rPr>
          <w:rStyle w:val="CharStyle34"/>
        </w:rPr>
        <w:t xml:space="preserve">Действителен с 17.10.2025 </w:t>
      </w:r>
      <w:r>
        <w:rPr>
          <w:rStyle w:val="CharStyle34"/>
          <w:color w:val="5C5C5C"/>
        </w:rPr>
        <w:t xml:space="preserve">по </w:t>
      </w:r>
      <w:r>
        <w:rPr>
          <w:rStyle w:val="CharStyle34"/>
        </w:rPr>
        <w:t>10.01.2027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Исп.Рагулина Т.Ю.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тел.8(4712) 70-87-16, вн.046-102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6" w:bottom="1666" w:left="109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64643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2026-2053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88.20000000000005pt;width:50.899999999999999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2026-2053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4643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2026-2053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5.70000000000005pt;width:50.89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2026-2053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646430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2026-2053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75pt;margin-top:788.20000000000005pt;width:50.899999999999999pt;height:10.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2026-2053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511175</wp:posOffset>
              </wp:positionV>
              <wp:extent cx="60960" cy="698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19999999999999pt;margin-top:40.25pt;width:4.79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793115</wp:posOffset>
              </wp:positionV>
              <wp:extent cx="57785" cy="7302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25pt;margin-top:62.450000000000003pt;width:4.5499999999999998pt;height:5.7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511175</wp:posOffset>
              </wp:positionV>
              <wp:extent cx="60960" cy="698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40.25pt;width:4.7999999999999998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Body text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Body text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3">
    <w:name w:val="Table caption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5">
    <w:name w:val="Heading #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30">
    <w:name w:val="Picture caption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4">
    <w:name w:val="Body text (3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120" w:line="29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26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styleId="Style18">
    <w:name w:val="Body text"/>
    <w:basedOn w:val="Normal"/>
    <w:link w:val="CharStyle19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2">
    <w:name w:val="Table caption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4">
    <w:name w:val="Heading #1"/>
    <w:basedOn w:val="Normal"/>
    <w:link w:val="CharStyle25"/>
    <w:pPr>
      <w:widowControl w:val="0"/>
      <w:shd w:val="clear" w:color="auto" w:fill="auto"/>
      <w:spacing w:after="5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9">
    <w:name w:val="Picture caption"/>
    <w:basedOn w:val="Normal"/>
    <w:link w:val="CharStyle3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3">
    <w:name w:val="Body text (3)"/>
    <w:basedOn w:val="Normal"/>
    <w:link w:val="CharStyle34"/>
    <w:pPr>
      <w:widowControl w:val="0"/>
      <w:shd w:val="clear" w:color="auto" w:fill="auto"/>
      <w:ind w:left="31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image" Target="media/image1.jpeg"/><Relationship Id="rId14" Type="http://schemas.openxmlformats.org/officeDocument/2006/relationships/image" Target="media/image1.jpeg" TargetMode="Externa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/Relationships>
</file>