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7255" distL="1169035" distR="1108075" simplePos="0" relativeHeight="125829378" behindDoc="0" locked="0" layoutInCell="1" allowOverlap="1">
            <wp:simplePos x="0" y="0"/>
            <wp:positionH relativeFrom="page">
              <wp:posOffset>1776730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0" distL="114300" distR="114300" simplePos="0" relativeHeight="125829379" behindDoc="0" locked="0" layoutInCell="1" allowOverlap="1">
                <wp:simplePos x="0" y="0"/>
                <wp:positionH relativeFrom="page">
                  <wp:posOffset>721995</wp:posOffset>
                </wp:positionH>
                <wp:positionV relativeFrom="paragraph">
                  <wp:posOffset>728980</wp:posOffset>
                </wp:positionV>
                <wp:extent cx="2581910" cy="20637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063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Республике Башкортостан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Пушкина, 95, г. Уфа, 450008</w:t>
                              <w:br/>
                              <w:t>тел. (347) 273-34-05, факс (347) 272-58-82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"mailto:to02@fas.gov.ru"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to02@fas.gov.ru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8"/>
                                <w:sz w:val="30"/>
                                <w:szCs w:val="30"/>
                                <w:u w:val="single"/>
                              </w:rPr>
                              <w:t>21,05.2026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8"/>
                                <w:sz w:val="30"/>
                                <w:szCs w:val="30"/>
                                <w:u w:val="single"/>
                              </w:rPr>
                              <w:tab/>
                              <w:t>№ 5381/26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850000000000001pt;margin-top:57.399999999999999pt;width:203.30000000000001pt;height:162.5pt;z-index:-125829374;mso-wrap-distance-left:9.pt;mso-wrap-distance-top:56.3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Республике Башкортостан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Пушкина, 95, г. Уфа, 450008</w:t>
                        <w:br/>
                        <w:t>тел. (347) 273-34-05, факс (347) 272-58-82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"mailto:to02@fas.gov.ru"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to02@fas.gov.ru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8"/>
                          <w:sz w:val="30"/>
                          <w:szCs w:val="30"/>
                          <w:u w:val="single"/>
                        </w:rPr>
                        <w:t>21,05.2026</w:t>
                      </w:r>
                      <w:r>
                        <w:fldChar w:fldCharType="end"/>
                      </w:r>
                      <w:r>
                        <w:rPr>
                          <w:rStyle w:val="CharStyle8"/>
                          <w:sz w:val="30"/>
                          <w:szCs w:val="30"/>
                          <w:u w:val="single"/>
                        </w:rPr>
                        <w:tab/>
                        <w:t>№ 5381/26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880" w:right="0" w:firstLine="40"/>
        <w:jc w:val="left"/>
      </w:pPr>
      <w:r>
        <w:rPr>
          <w:rStyle w:val="CharStyle8"/>
        </w:rPr>
        <w:t xml:space="preserve">ООО "Медтехника" </w:t>
      </w:r>
      <w:r>
        <w:fldChar w:fldCharType="begin"/>
      </w:r>
      <w:r>
        <w:rPr/>
        <w:instrText> HYPERLINK "mailto:anna.medik@list.ru" </w:instrText>
      </w:r>
      <w:r>
        <w:fldChar w:fldCharType="separate"/>
      </w:r>
      <w:r>
        <w:rPr>
          <w:rStyle w:val="CharStyle8"/>
          <w:lang w:val="en-US" w:eastAsia="en-US"/>
        </w:rPr>
        <w:t>anna.medik@list.ru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8"/>
        </w:rPr>
        <w:t>ГОСУДАРСТВЕННОЕ БЮДЖЕТНОЕ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40"/>
        <w:jc w:val="left"/>
      </w:pPr>
      <w:r>
        <w:rPr>
          <w:rStyle w:val="CharStyle8"/>
        </w:rPr>
        <w:t>УЧРЕЖДЕНИЕ ЗДРАВООХРАНЕНИЯ РЕСПУБЛИКАНСКАЯ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40"/>
        <w:jc w:val="left"/>
      </w:pPr>
      <w:r>
        <w:rPr>
          <w:rStyle w:val="CharStyle8"/>
        </w:rPr>
        <w:t>КЛИНИЧЕСКАЯ БОЛЬНИЦА ИМЕНИ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</w:rPr>
        <w:t>Г.Г.КУВАТОВА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8"/>
        </w:rPr>
        <w:t>450005, РБ, г. Уфа, ул. Достоевского, д.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8"/>
        </w:rPr>
        <w:t>132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fldChar w:fldCharType="begin"/>
      </w:r>
      <w:r>
        <w:rPr/>
        <w:instrText> HYPERLINK "mailto:ufa.rkbkuv@doctorrb.ru" </w:instrText>
      </w:r>
      <w:r>
        <w:fldChar w:fldCharType="separate"/>
      </w:r>
      <w:r>
        <w:rPr>
          <w:rStyle w:val="CharStyle8"/>
          <w:lang w:val="en-US" w:eastAsia="en-US"/>
        </w:rPr>
        <w:t>ufa.rkbkuv@doctorrb.ru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5320" w:right="0" w:firstLine="0"/>
        <w:jc w:val="left"/>
      </w:pPr>
      <w:r>
        <w:fldChar w:fldCharType="begin"/>
      </w:r>
      <w:r>
        <w:rPr/>
        <w:instrText> HYPERLINK "mailto:gg.kuvatova@mail.ru" </w:instrText>
      </w:r>
      <w:r>
        <w:fldChar w:fldCharType="separate"/>
      </w:r>
      <w:r>
        <w:rPr>
          <w:rStyle w:val="CharStyle8"/>
          <w:lang w:val="en-US" w:eastAsia="en-US"/>
        </w:rPr>
        <w:t>gg.kuvatova@mail.ru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5"/>
          <w:sz w:val="24"/>
          <w:szCs w:val="24"/>
        </w:rPr>
        <w:t>Решение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8"/>
          <w:b/>
          <w:bCs/>
        </w:rPr>
        <w:t>РЕШЕНИЕ № 002/06/106-902/2026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7291" w:val="left"/>
        </w:tabs>
        <w:bidi w:val="0"/>
        <w:spacing w:before="0" w:after="200" w:line="240" w:lineRule="auto"/>
        <w:ind w:left="0" w:right="0" w:firstLine="0"/>
        <w:jc w:val="left"/>
      </w:pPr>
      <w:r>
        <w:rPr>
          <w:rStyle w:val="CharStyle8"/>
        </w:rPr>
        <w:t>«15» мая 2026 года</w:t>
        <w:tab/>
        <w:t>г. Уфа, ул. Пушкина, 95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rStyle w:val="CharStyle8"/>
        </w:rPr>
        <w:t>Комиссия Управления Федеральной антимонопольной службы по Республике Башкортостан по контролю в сфере закупок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rStyle w:val="CharStyle8"/>
        </w:rPr>
        <w:t>Председатель Комиссии – временно исполняющий обязанности начальника отдела контроля закупок Управления Федеральной антимонопольной службы по Республике – Агзамова Д.Р.;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rStyle w:val="CharStyle8"/>
        </w:rPr>
        <w:t>члены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</w:rPr>
        <w:t>специалист-эксперт отдела контроля закупок – Исламов И.Т.;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</w:rPr>
        <w:t>специалист-эксперт отдела контроля закупок – Шакиров Д.Р.;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</w:rPr>
        <w:t>Посредством видеоконференцсвязи: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  <w:b/>
          <w:bCs/>
        </w:rPr>
        <w:t xml:space="preserve">Заказчик: </w:t>
      </w:r>
      <w:r>
        <w:rPr>
          <w:rStyle w:val="CharStyle8"/>
        </w:rPr>
        <w:t>ГБУЗ РКБ имени Г.Г. Куватова;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80"/>
        <w:jc w:val="both"/>
      </w:pPr>
      <w:r>
        <w:rPr>
          <w:rStyle w:val="CharStyle8"/>
          <w:b/>
          <w:bCs/>
        </w:rPr>
        <w:t xml:space="preserve">Заявитель: </w:t>
      </w:r>
      <w:r>
        <w:rPr>
          <w:rStyle w:val="CharStyle8"/>
        </w:rPr>
        <w:t>ООО «МЕДТЕХНИКА»,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8"/>
          <w:b/>
          <w:bCs/>
        </w:rPr>
        <w:t>УСТАНОВИЛА: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rStyle w:val="CharStyle8"/>
        </w:rPr>
        <w:t>В адрес Управления Федеральной антимонопольной службы по Республике Башкортостан поступили жалобы от ООО «МЕДТЕХНИКА» (вх. 7153/26, 7154/26, 7155/26 от 12.05.2026) на действия Заказчика при проведении закупок: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20" w:val="left"/>
        </w:tabs>
        <w:bidi w:val="0"/>
        <w:spacing w:before="0" w:after="420" w:line="240" w:lineRule="auto"/>
        <w:ind w:left="0" w:right="0" w:firstLine="920"/>
        <w:jc w:val="both"/>
      </w:pPr>
      <w:r>
        <w:rPr>
          <w:rStyle w:val="CharStyle8"/>
        </w:rPr>
        <w:t>закупка № 0301000000226000545 «Поставка изделий медицинского назначения (Степлер линейный ручной эндоскопический, Загрузочный блок для степлера хирургического, одноразового использования, Степлер линейный ручной режущий эндоскопический, одноразового использования, Набор для внутривенных вливаний с иглой Губера, Держатель/электрод электрохирургический для открытых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9"/>
        </w:rPr>
        <w:t>IIIIIIIIIIIIIIIIIIIIIIII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операций, биполярный, одноразового использования, Пила хирургическая ручная, проволочная)».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20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закупка </w:t>
      </w:r>
      <w:r>
        <w:rPr>
          <w:rStyle w:val="CharStyle8"/>
          <w:lang w:val="en-US" w:eastAsia="en-US"/>
        </w:rPr>
        <w:t xml:space="preserve">№ 0301000000226000546 </w:t>
      </w:r>
      <w:r>
        <w:rPr>
          <w:rStyle w:val="CharStyle8"/>
        </w:rPr>
        <w:t>«Поставка изделий медицинского назначения (Степлер линейный ручной эндоскопический, Загрузочный блок для степлера хирургического, одноразового использования, Степлер линейный ручной режущий эндоскопический, одноразового использования, Набор для внутривенных вливаний с иглой Губера, Держатель/электрод электрохирургический для открытых операций, биполярный, одноразового использования, Пила хирургическая ручная, проволочная)»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20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закупка </w:t>
      </w:r>
      <w:r>
        <w:rPr>
          <w:rStyle w:val="CharStyle8"/>
          <w:lang w:val="en-US" w:eastAsia="en-US"/>
        </w:rPr>
        <w:t xml:space="preserve">№ 0301000000226000547 </w:t>
      </w:r>
      <w:r>
        <w:rPr>
          <w:rStyle w:val="CharStyle8"/>
        </w:rPr>
        <w:t>«Поставка изделий медицинского назначения (Степлер линейный ручной эндоскопический, Загрузочный блок для степлера хирургического, одноразового использования, Степлер линейный ручной режущий эндоскопический, одноразового использования, Набор для внутривенных вливаний с иглой Губера, Держатель/электрод электрохирургический для открытых операций, биполярный, одноразового использования, Пила хирургическая ручная, проволочная)»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По мнению Заявителя, нарушен Федеральный закон от </w:t>
      </w:r>
      <w:r>
        <w:rPr>
          <w:rStyle w:val="CharStyle8"/>
          <w:lang w:val="en-US" w:eastAsia="en-US"/>
        </w:rPr>
        <w:t xml:space="preserve">05.04.2013 № </w:t>
      </w:r>
      <w:r>
        <w:rPr>
          <w:rStyle w:val="CharStyle8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 xml:space="preserve">Закон о контрактной системе), а именно жалоба на положения извещений, Заявитель в своей жалобе указывает что, </w:t>
      </w:r>
      <w:r>
        <w:rPr>
          <w:rStyle w:val="CharStyle8"/>
          <w:i/>
          <w:iCs/>
        </w:rPr>
        <w:t>у Заказчика изначально была возможность разбить на «монолоты» закупки. Но Заказчик вместо этого раздробил закупку на три аукциона. Главная причина использования заказчиком дробления закупки состоит в обходе конкурентного способа определения поставщика.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Жалобы поданы в соответствии с требованиями 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Информация о поступлении жалоб в соответствии с ч.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ст. </w:t>
      </w:r>
      <w:r>
        <w:rPr>
          <w:rStyle w:val="CharStyle8"/>
          <w:lang w:val="en-US" w:eastAsia="en-US"/>
        </w:rPr>
        <w:t xml:space="preserve">106 </w:t>
      </w:r>
      <w:r>
        <w:rPr>
          <w:rStyle w:val="CharStyle8"/>
        </w:rPr>
        <w:t>Закона о контрактной системе размещена в единой информационной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 Заказчиком была представлена информация по закупкам: </w:t>
      </w:r>
      <w:r>
        <w:rPr>
          <w:rStyle w:val="CharStyle8"/>
          <w:lang w:val="en-US" w:eastAsia="en-US"/>
        </w:rPr>
        <w:t>№ 0301000000226000545, № 0301000000226000546, № 0301000000226000547.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Комиссия Башкортостанского УФАС России (далее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>Комиссия), изучив и рассмотрев представленные материалы дела, установила следующее.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  <w:lang w:val="en-US" w:eastAsia="en-US"/>
        </w:rPr>
        <w:t xml:space="preserve">04.05.2026 </w:t>
      </w:r>
      <w:r>
        <w:rPr>
          <w:rStyle w:val="CharStyle8"/>
        </w:rPr>
        <w:t xml:space="preserve">на официальном сайте Единой информационной системы в сфере закупок размещено извещение о проведении электронного аукциона </w:t>
      </w:r>
      <w:r>
        <w:rPr>
          <w:rStyle w:val="CharStyle8"/>
          <w:lang w:val="en-US" w:eastAsia="en-US"/>
        </w:rPr>
        <w:t>№ 0301000000226000545.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Начальная (максимальная) цена контракта </w:t>
      </w:r>
      <w:r>
        <w:rPr>
          <w:rStyle w:val="CharStyle8"/>
          <w:lang w:val="en-US" w:eastAsia="en-US"/>
        </w:rPr>
        <w:t xml:space="preserve">– 1 465 834,92 </w:t>
      </w:r>
      <w:r>
        <w:rPr>
          <w:rStyle w:val="CharStyle8"/>
        </w:rPr>
        <w:t>руб.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Срок окончание подачи заявок </w:t>
      </w:r>
      <w:r>
        <w:rPr>
          <w:rStyle w:val="CharStyle8"/>
          <w:lang w:val="en-US" w:eastAsia="en-US"/>
        </w:rPr>
        <w:t>— 12.05.2026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  <w:lang w:val="en-US" w:eastAsia="en-US"/>
        </w:rPr>
        <w:t xml:space="preserve">04.05.2026 </w:t>
      </w:r>
      <w:r>
        <w:rPr>
          <w:rStyle w:val="CharStyle8"/>
        </w:rPr>
        <w:t xml:space="preserve">на официальном сайте Единой информационной системы в сфере закупок размещено извещение о проведении электронного аукциона </w:t>
      </w:r>
      <w:r>
        <w:rPr>
          <w:rStyle w:val="CharStyle8"/>
          <w:lang w:val="en-US" w:eastAsia="en-US"/>
        </w:rPr>
        <w:t>№ 0301000000226000546.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Начальная (максимальная) цена контракта </w:t>
      </w:r>
      <w:r>
        <w:rPr>
          <w:rStyle w:val="CharStyle8"/>
          <w:lang w:val="en-US" w:eastAsia="en-US"/>
        </w:rPr>
        <w:t xml:space="preserve">– 1 499 140,29 </w:t>
      </w:r>
      <w:r>
        <w:rPr>
          <w:rStyle w:val="CharStyle8"/>
        </w:rPr>
        <w:t>руб.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Срок окончание подачи заявок </w:t>
      </w:r>
      <w:r>
        <w:rPr>
          <w:rStyle w:val="CharStyle8"/>
          <w:lang w:val="en-US" w:eastAsia="en-US"/>
        </w:rPr>
        <w:t>- 12.05.2026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  <w:lang w:val="en-US" w:eastAsia="en-US"/>
        </w:rPr>
        <w:t xml:space="preserve">04.05.2026 </w:t>
      </w:r>
      <w:r>
        <w:rPr>
          <w:rStyle w:val="CharStyle8"/>
        </w:rPr>
        <w:t xml:space="preserve">на официальном сайте Единой информационной системы в сфере закупок размещено извещение о проведении электронного аукциона </w:t>
      </w:r>
      <w:r>
        <w:rPr>
          <w:rStyle w:val="CharStyle8"/>
          <w:lang w:val="en-US" w:eastAsia="en-US"/>
        </w:rPr>
        <w:t>№ 0301000000226000547.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Начальная (максимальная) цена контракта </w:t>
      </w:r>
      <w:r>
        <w:rPr>
          <w:rStyle w:val="CharStyle8"/>
          <w:lang w:val="en-US" w:eastAsia="en-US"/>
        </w:rPr>
        <w:t xml:space="preserve">– 1 499 847,24 </w:t>
      </w:r>
      <w:r>
        <w:rPr>
          <w:rStyle w:val="CharStyle8"/>
        </w:rPr>
        <w:t>руб.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Срок окончание подачи заявок </w:t>
      </w:r>
      <w:r>
        <w:rPr>
          <w:rStyle w:val="CharStyle8"/>
          <w:lang w:val="en-US" w:eastAsia="en-US"/>
        </w:rPr>
        <w:t>— 12.05.2026.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Согласно части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33 </w:t>
      </w:r>
      <w:r>
        <w:rPr>
          <w:rStyle w:val="CharStyle8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При этом заказчик обязан использовать при составлении описания объекта закупки показатели, требования, условные обозначения и терминологию, касающиеся технических и качественных характеристик объекта закупки, установленные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Частью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33 </w:t>
      </w:r>
      <w:r>
        <w:rPr>
          <w:rStyle w:val="CharStyle8"/>
        </w:rPr>
        <w:t xml:space="preserve">Закона о контрактной системе установлено, что описание объекта закупки в соответствии с требованиями, указанными в части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33 </w:t>
      </w:r>
      <w:r>
        <w:rPr>
          <w:rStyle w:val="CharStyle8"/>
        </w:rPr>
        <w:t>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Исходя из положений Закона о контрактной системе и общего смысла законодательства о контрактной системе, следует, что основанием для проведения любой закупки является наличие нужд (потребности) заказчика в приобретении товаров, работ, услуг для обеспечения своей деятельности.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При формировании описания объекта закупки заказчику предоставлено полномочие по самостоятельному определению параметров объекта закупки, в наибольшей степени удовлетворяющих его потребности.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Закон о контрактной системе не обязывает заказчика при определении характеристик поставляемого для государственных нужд товара в извещении о проведении закупки устанавливать такие характеристики, которые соответствовали бы всем существующим типам, видам, моделям товара.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Указание заказчиком в извещении о проведении закупки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закупки, отсутствие у определенных лиц, заинтересованных в заключении контракта, возможности поставить товар, соответствующий потребностям заказчика, не свидетельствует о нарушении заказчиком прав этих лиц, а также об ограничении заказчиком числа участников закупки.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Описание объекта закупки сформировано Заказчиком в соответствии с требованиями Закона о контрактной системе. В описании отсутствуют указания на конкретную торговую марку, фирменное наименование и конкретного производителя.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В описании объекта закупки указаны функциональные характеристики, потребительские свойства и качественные характеристики объекта закупки, имеющие существенное терапевтическое значение и обусловленные исключительной спецификой медицинского учреждения с целью повышения качества и безопасности лечебного процесса в рамках оказания высокотехнологичной и специализированной медицинской помощи.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Объектом закупки являются медицинские изделия, применяемые при проведении хирургических вмешательств в операционном блоке Заказчика. Все позиции закупки имеют единый код ОКПД2 </w:t>
      </w:r>
      <w:r>
        <w:rPr>
          <w:rStyle w:val="CharStyle8"/>
          <w:lang w:val="en-US" w:eastAsia="en-US"/>
        </w:rPr>
        <w:t xml:space="preserve">32.50.13.190 </w:t>
      </w:r>
      <w:r>
        <w:rPr>
          <w:rStyle w:val="CharStyle8"/>
        </w:rPr>
        <w:t>«Инструменты и приспособления, применяемые в медицинских целях, прочие, не включенные в другие группировки» и используются в рамках оказания специализированной и высокотехнологичной медицинской помощи пациентам.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Согласно пояснений Заказчика, специфика деятельности учреждения не позволяет заранее определить точное количество медицинских изделий по каждой позиции (типоразмеру) ввиду следующих объективных факторов: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24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Индивидуальные анатомические особенности: Выбор конкретного размера инструмента, сшивающих кассет или скоб зависит от антропометрических данных пациента, толщины тканей и характера патологии. Данные параметры определяются хирургом непосредственно в ходе оперативного вмешательства (интраоперационно).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9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Непрогнозируемый характер экстренной помощи: Как региональный центр, больница принимает пациентов с тяжелыми сочетанными травмами и острыми состояниями со всей республики. Объем и структура экстренных операций не подлежат точному статистическому планированию на год вперед.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24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Квотирование ВМП: Несмотря на плановый характер ВМП, вариативность клинических случаев внутри одной группы заболеваний требует наличия широкой линейки расходных материалов для обеспечения безопасности пациента.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24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Функциональная и технологическая взаимосвязь (Коды ОКПД2 и НКМИ): При формировании объекта закупки Заказчик руководствовался кодом ОКПД2, который определяет функциональное назначение изделий. Объединение в одном лоте изделий с различными кодами НКМИ продиктовано их применением в рамках единого медицинского протокола (одного операционного вмешательства).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9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Организационно-экономическая целесообразность: Разделение потребности на лоты, не превышающие предельную стоимость (до </w:t>
      </w:r>
      <w:r>
        <w:rPr>
          <w:rStyle w:val="CharStyle8"/>
          <w:lang w:val="en-US" w:eastAsia="en-US"/>
        </w:rPr>
        <w:t xml:space="preserve">1,5 </w:t>
      </w:r>
      <w:r>
        <w:rPr>
          <w:rStyle w:val="CharStyle8"/>
        </w:rPr>
        <w:t>млн руб.), осуществлено с целью: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1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Соблюдения требований Постановления Правительства </w:t>
      </w:r>
      <w:r>
        <w:rPr>
          <w:rStyle w:val="CharStyle8"/>
          <w:lang w:val="en-US" w:eastAsia="en-US"/>
        </w:rPr>
        <w:t xml:space="preserve">№ 616 </w:t>
      </w:r>
      <w:r>
        <w:rPr>
          <w:rStyle w:val="CharStyle8"/>
        </w:rPr>
        <w:t xml:space="preserve">и </w:t>
      </w:r>
      <w:r>
        <w:rPr>
          <w:rStyle w:val="CharStyle8"/>
          <w:lang w:val="en-US" w:eastAsia="en-US"/>
        </w:rPr>
        <w:t xml:space="preserve">№ 620 </w:t>
      </w:r>
      <w:r>
        <w:rPr>
          <w:rStyle w:val="CharStyle8"/>
        </w:rPr>
        <w:t>(в части ограничения нацрежима и предельных цен на медицинские изделия в одном лоте);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1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Расширения круга участников: лоты до </w:t>
      </w:r>
      <w:r>
        <w:rPr>
          <w:rStyle w:val="CharStyle8"/>
          <w:lang w:val="en-US" w:eastAsia="en-US"/>
        </w:rPr>
        <w:t xml:space="preserve">1,5 </w:t>
      </w:r>
      <w:r>
        <w:rPr>
          <w:rStyle w:val="CharStyle8"/>
        </w:rPr>
        <w:t>млн руб. более доступны для участия малого и среднего предпринимательства, что повышает конкуренцию;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91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Эффективности управления: дробление на несколько идентичных лотов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позволяет обеспечить ритмичность поставок и минимизировать риски срыва обеспечения операционного блока в случае недобросовестности одного из поставщиков.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На основании вышеизложенного, Заказчиком было принято решение о формировании лота с использованием механизма, предусмотренного ч. </w:t>
      </w:r>
      <w:r>
        <w:rPr>
          <w:rStyle w:val="CharStyle8"/>
          <w:lang w:val="en-US" w:eastAsia="en-US"/>
        </w:rPr>
        <w:t xml:space="preserve">24 </w:t>
      </w:r>
      <w:r>
        <w:rPr>
          <w:rStyle w:val="CharStyle8"/>
        </w:rPr>
        <w:t xml:space="preserve">ст. </w:t>
      </w:r>
      <w:r>
        <w:rPr>
          <w:rStyle w:val="CharStyle8"/>
          <w:lang w:val="en-US" w:eastAsia="en-US"/>
        </w:rPr>
        <w:t xml:space="preserve">22 </w:t>
      </w:r>
      <w:r>
        <w:rPr>
          <w:rStyle w:val="CharStyle8"/>
        </w:rPr>
        <w:t xml:space="preserve">Федерального закона </w:t>
      </w:r>
      <w:r>
        <w:rPr>
          <w:rStyle w:val="CharStyle8"/>
          <w:lang w:val="en-US" w:eastAsia="en-US"/>
        </w:rPr>
        <w:t xml:space="preserve">№ </w:t>
      </w:r>
      <w:r>
        <w:rPr>
          <w:rStyle w:val="CharStyle8"/>
        </w:rPr>
        <w:t>44-ФЗ. Закупка осуществляется путем установления цены единицы товара. Оплата будет производиться по фактически поставленному количеству товара, исходя из реальной потребности учреждения в процессе оказания медицинской помощи, но в пределах максимального значения цены контракта.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Данный подход обеспечивает непрерывность лечебного процесса и исключает риск неэффективного расходования бюджетных средств (затоваривание невостребованными размерами при дефиците ходовых позиций).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При формировании закупки, Заказчик обязан в первоочередном порядке применять соответствующую позицию каталога товаров, работ, услуг (КТРУ) в случае ее наличия. Использование КТРУ при описании объекта закупки является обязательным требованием, установленным законодательством о контрактной системе, и направлено на обеспечение единообразного подхода к формированию закупочной документации и недопущение ограничения конкуренции.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В рас</w:t>
      </w:r>
      <w:r>
        <w:rPr>
          <w:rStyle w:val="CharStyle8"/>
          <w:u w:val="single"/>
        </w:rPr>
        <w:t>сматриваемом случае заказчиком применены позиции КТРУ</w:t>
      </w:r>
      <w:r>
        <w:rPr>
          <w:rStyle w:val="CharStyle8"/>
        </w:rPr>
        <w:t>: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4480560" cy="3810000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4480560" cy="381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93665" cy="4041775"/>
            <wp:docPr id="6" name="Picut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5193665" cy="40417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99" w:line="1" w:lineRule="exact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Предметом закупки является </w:t>
      </w:r>
      <w:r>
        <w:rPr>
          <w:rStyle w:val="CharStyle8"/>
          <w:u w:val="single"/>
        </w:rPr>
        <w:t>поставка, а не производство товара.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Участником закупки может выступать любое заинтересованное лицо, в том числе не являющееся производителем. Наличие либо отсутствие у конкретного хозяйствующего субъекта возможности поставить соответствующий товар не свидетельствует о нарушении законодательства и не подтверждает ограничение конкуренции.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Формирование лота по данной закупке, было обусловлено функциональной и технологической взаимосвязью изделий и направлено на обеспечение бесперебойной работы операционного блока учреждения, оказывающего высшую медицинскую помощь и экстренную медицинскую помощь.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Таким образом, изучив содержание всех представленных пояснений, документов и иной информации, комиссией Башкортостанского УФАС России, в действиях Заказчика нарушений законодательства о контрактной системе не установлено.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Жалобы признаются необоснованными.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rStyle w:val="CharStyle8"/>
        </w:rPr>
        <w:t xml:space="preserve">На основании вышеизложенного и руководствуясь ст. </w:t>
      </w:r>
      <w:r>
        <w:rPr>
          <w:rStyle w:val="CharStyle8"/>
          <w:lang w:val="en-US" w:eastAsia="en-US"/>
        </w:rPr>
        <w:t xml:space="preserve">99 </w:t>
      </w:r>
      <w:r>
        <w:rPr>
          <w:rStyle w:val="CharStyle8"/>
        </w:rPr>
        <w:t xml:space="preserve">Федерального закона от 05.04.2013г. </w:t>
      </w:r>
      <w:r>
        <w:rPr>
          <w:rStyle w:val="CharStyle8"/>
          <w:lang w:val="en-US" w:eastAsia="en-US"/>
        </w:rPr>
        <w:t xml:space="preserve">№ </w:t>
      </w:r>
      <w:r>
        <w:rPr>
          <w:rStyle w:val="CharStyle8"/>
        </w:rPr>
        <w:t>44-ФЗ «О контрактной системе в сфере закупок товаров, работ, услуг для обеспечения государственных и муниципальных нужд», Комиссия Башкортостанского УФАС России по контролю в сфере закупок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8"/>
          <w:b/>
          <w:bCs/>
        </w:rPr>
        <w:t>РЕШИЛА: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rStyle w:val="CharStyle8"/>
        </w:rPr>
        <w:t>Признать жалобы ООО «МЕДТЕХНИКА» необоснованными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rStyle w:val="CharStyle8"/>
        </w:rPr>
        <w:t>Решение может быть обжаловано в течение трех месяцев со дня его</w: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8"/>
        </w:rPr>
        <w:t>принятия.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rStyle w:val="CharStyle8"/>
        </w:rPr>
        <w:t>Председатель Комиссии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0"/>
        <w:jc w:val="left"/>
      </w:pPr>
      <w:r>
        <w:rPr>
          <w:rStyle w:val="CharStyle8"/>
        </w:rPr>
        <w:t>Члены комиссии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014" w:right="539" w:bottom="1203" w:left="110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6040755</wp:posOffset>
                </wp:positionH>
                <wp:positionV relativeFrom="margin">
                  <wp:posOffset>400685</wp:posOffset>
                </wp:positionV>
                <wp:extent cx="1143000" cy="135953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3000" cy="1359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8"/>
                              </w:rPr>
                              <w:t>Арсланов А.А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8"/>
                              </w:rPr>
                              <w:t>Исламов И.Т.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8"/>
                              </w:rPr>
                              <w:t>Шакиров Д.Р.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8"/>
                              </w:rPr>
                              <w:t>Д.Р. Агзамова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75.65000000000003pt;margin-top:31.550000000000001pt;width:90.pt;height:107.05pt;z-index:-125829372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8"/>
                        </w:rPr>
                        <w:t>Арсланов А.А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8"/>
                        </w:rPr>
                        <w:t>Исламов И.Т.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8"/>
                        </w:rPr>
                        <w:t>Шакиров Д.Р.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8"/>
                        </w:rPr>
                        <w:t>Д.Р. Агзамова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CharStyle8"/>
        </w:rPr>
        <w:t>Врио начальника отдела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9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2"/>
        <w:keepNext w:val="0"/>
        <w:keepLines w:val="0"/>
        <w:framePr w:w="2246" w:h="173" w:wrap="none" w:vAnchor="text" w:hAnchor="page" w:x="4791" w:y="727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rStyle w:val="CharStyle23"/>
          <w:rFonts w:ascii="Georgia" w:eastAsia="Georgia" w:hAnsi="Georgia" w:cs="Georgia"/>
          <w:color w:val="FFFFFF"/>
          <w:sz w:val="13"/>
          <w:szCs w:val="13"/>
        </w:rPr>
        <w:t>СВЕДЕНИЯ О СЕРТИФИКАТЕ ЭП</w:t>
      </w:r>
    </w:p>
    <w:p>
      <w:pPr>
        <w:pStyle w:val="Style22"/>
        <w:keepNext w:val="0"/>
        <w:keepLines w:val="0"/>
        <w:framePr w:w="3019" w:h="446" w:wrap="none" w:vAnchor="text" w:hAnchor="page" w:x="4715" w:y="1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  <w:b/>
          <w:bCs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widowControl w:val="0"/>
        <w:spacing w:line="360" w:lineRule="exact"/>
      </w:pPr>
      <w:r>
        <w:drawing>
          <wp:anchor distT="0" distB="0" distL="0" distR="1993265" simplePos="0" relativeHeight="62914694" behindDoc="1" locked="0" layoutInCell="1" allowOverlap="1">
            <wp:simplePos x="0" y="0"/>
            <wp:positionH relativeFrom="page">
              <wp:posOffset>2529840</wp:posOffset>
            </wp:positionH>
            <wp:positionV relativeFrom="paragraph">
              <wp:posOffset>12700</wp:posOffset>
            </wp:positionV>
            <wp:extent cx="389890" cy="591185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911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7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36" w:bottom="976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Агзамова Диана Раяновна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>Сертификат № 221</w:t>
      </w:r>
      <w:r>
        <w:rPr>
          <w:rStyle w:val="CharStyle26"/>
          <w:lang w:val="en-US" w:eastAsia="en-US"/>
        </w:rPr>
        <w:t>39E6FCE978F1DC93971</w:t>
      </w:r>
      <w:r>
        <w:rPr>
          <w:rStyle w:val="CharStyle26"/>
        </w:rPr>
        <w:t>1</w:t>
      </w:r>
      <w:r>
        <w:rPr>
          <w:rStyle w:val="CharStyle26"/>
          <w:lang w:val="en-US" w:eastAsia="en-US"/>
        </w:rPr>
        <w:t>A8E7A69D9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7780" w:line="240" w:lineRule="auto"/>
        <w:ind w:right="0" w:firstLine="0"/>
        <w:jc w:val="left"/>
      </w:pPr>
      <w:r>
        <w:rPr>
          <w:rStyle w:val="CharStyle26"/>
        </w:rPr>
        <w:t>Действителен с 09.06.2025 по 02.09.2026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Исп.Исламов И.Т. тел.(347) 216-33-54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4198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9993630</wp:posOffset>
              </wp:positionV>
              <wp:extent cx="655320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2026-5674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75pt;margin-top:786.89999999999998pt;width:51.60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2026-5674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9993630</wp:posOffset>
              </wp:positionV>
              <wp:extent cx="655320" cy="12827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  <w:lang w:val="ru-RU" w:eastAsia="ru-RU"/>
                            </w:rPr>
                            <w:t>2026-5674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850000000000001pt;margin-top:786.89999999999998pt;width:51.6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  <w:lang w:val="ru-RU" w:eastAsia="ru-RU"/>
                      </w:rPr>
                      <w:t>2026-5674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character" w:customStyle="1" w:styleId="CharStyle8">
    <w:name w:val="Body text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Header or footer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5">
    <w:name w:val="Body text (5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23">
    <w:name w:val="Picture caption_"/>
    <w:basedOn w:val="DefaultParagraphFont"/>
    <w:link w:val="Style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F2F2F"/>
      <w:sz w:val="12"/>
      <w:szCs w:val="12"/>
      <w:u w:val="none"/>
    </w:rPr>
  </w:style>
  <w:style w:type="character" w:customStyle="1" w:styleId="CharStyle26">
    <w:name w:val="Body text (3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2F2F2F"/>
      <w:sz w:val="13"/>
      <w:szCs w:val="13"/>
      <w:u w:val="none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paragraph" w:styleId="Style7">
    <w:name w:val="Body text"/>
    <w:basedOn w:val="Normal"/>
    <w:link w:val="CharStyle8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Header or footer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4">
    <w:name w:val="Body text (5)"/>
    <w:basedOn w:val="Normal"/>
    <w:link w:val="CharStyle15"/>
    <w:pPr>
      <w:widowControl w:val="0"/>
      <w:shd w:val="clear" w:color="auto" w:fill="auto"/>
      <w:spacing w:after="4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2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2">
    <w:name w:val="Picture caption"/>
    <w:basedOn w:val="Normal"/>
    <w:link w:val="CharStyle23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F2F2F"/>
      <w:sz w:val="12"/>
      <w:szCs w:val="12"/>
      <w:u w:val="none"/>
    </w:rPr>
  </w:style>
  <w:style w:type="paragraph" w:customStyle="1" w:styleId="Style25">
    <w:name w:val="Body text (3)"/>
    <w:basedOn w:val="Normal"/>
    <w:link w:val="CharStyle26"/>
    <w:pPr>
      <w:widowControl w:val="0"/>
      <w:shd w:val="clear" w:color="auto" w:fill="auto"/>
      <w:spacing w:after="3890"/>
      <w:ind w:left="29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F2F2F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