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color w:val="476197"/>
          <w:sz w:val="24"/>
          <w:szCs w:val="24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2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9"/>
        </w:rPr>
        <w:t>ул. Ленина, 384, г. Ставрополь, 355003</w:t>
        <w:br/>
        <w:t>тел. (8652) 25-74-05, факс (8652) 35-28-09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9"/>
          <w:lang w:val="en-US" w:eastAsia="en-US"/>
        </w:rPr>
        <w:t>to26@fas.gov.ru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2"/>
          <w:sz w:val="18"/>
          <w:szCs w:val="18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  <w:rPr>
          <w:sz w:val="24"/>
          <w:szCs w:val="24"/>
        </w:rPr>
      </w:pPr>
      <w:r>
        <w:rPr>
          <w:rStyle w:val="CharStyle3"/>
          <w:sz w:val="24"/>
          <w:szCs w:val="24"/>
        </w:rPr>
        <w:t>Решение 1037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6"/>
          <w:b/>
          <w:bCs/>
        </w:rPr>
        <w:t>Заявитель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ИП Твердохлебова Диана Дмитриевна 357433, СК, г. Железноводск, п.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>Иноземцево, ул. Шоссейная, 209В,кв. 28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Уполномоченный орган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Администрация Кочубеевского муниципального округа Ставропольского края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>357000, Ставропольский край, с. Кочубеевское, ул. Октябрьской Революции, д. 64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Заказчик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МУ Кочубеевского муниципального округа СК "Спортивный комплекс "Урожай""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61" w:right="863" w:bottom="833" w:left="1020" w:header="0" w:footer="3" w:gutter="0"/>
          <w:pgNumType w:start="1"/>
          <w:cols w:num="2" w:space="720" w:equalWidth="0">
            <w:col w:w="4066" w:space="1315"/>
            <w:col w:w="4637"/>
          </w:cols>
          <w:noEndnote/>
          <w:titlePg/>
          <w:rtlGutter w:val="0"/>
          <w:docGrid w:linePitch="360"/>
        </w:sectPr>
      </w:pPr>
      <w:r>
        <w:rPr>
          <w:rStyle w:val="CharStyle18"/>
        </w:rPr>
        <w:t>357000, Ставропольский край, Кочубеевский р-н, Кочубеевское с, ул. Титова, д.23</w:t>
      </w:r>
    </w:p>
    <w:p>
      <w:pPr>
        <w:widowControl w:val="0"/>
        <w:spacing w:line="128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5" w:right="0" w:bottom="6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bookmarkStart w:id="6" w:name="bookmark6"/>
      <w:r>
        <w:rPr>
          <w:rStyle w:val="CharStyle16"/>
          <w:b/>
          <w:bCs/>
          <w:u w:val="none"/>
        </w:rPr>
        <w:t>РЕШЕНИЕ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8"/>
        </w:rPr>
        <w:t>по делу № 026/06/105-1037/2026</w:t>
        <w:br/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6017895</wp:posOffset>
                </wp:positionH>
                <wp:positionV relativeFrom="paragraph">
                  <wp:posOffset>12700</wp:posOffset>
                </wp:positionV>
                <wp:extent cx="106045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3.85000000000002pt;margin-top:1.pt;width:83.5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</w:rPr>
        <w:t>15.05.2026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rStyle w:val="CharStyle18"/>
        </w:rPr>
        <w:t>Комиссия Управления Федеральной антимонопольной службы 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8"/>
        </w:rPr>
        <w:t>Ставропольскому краю по контролю в сфере закупок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Председателя Комиссии, заместителя руководителя Управления Федеральной антимонопольной службы Соколова Е.А.,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rStyle w:val="CharStyle18"/>
        </w:rPr>
        <w:t>специалиста-эксперта Управления Федеральной антимонопольной службы 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8"/>
        </w:rPr>
        <w:t>Ставропольскому краю Карановой К.О.,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специалиста-эксперта Управления Федеральной антимонопольной службы по Ставропольскому краю Ивакиной А.И.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в присутствии представителя от Уполномоченного органа и от Заказчика — Беляйкиной С.Н.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880"/>
        <w:jc w:val="left"/>
      </w:pPr>
      <w:r>
        <w:rPr>
          <w:rStyle w:val="CharStyle18"/>
        </w:rPr>
        <w:t>в отсутствии представителя Заявителя, уведомленного надлежащим образом,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rStyle w:val="CharStyle23"/>
        </w:rPr>
        <w:t>1IIIIIIIIIIIIIIIIIIIIIII</w:t>
      </w:r>
      <w:bookmarkEnd w:id="8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center"/>
      </w:pPr>
      <w:bookmarkStart w:id="10" w:name="bookmark10"/>
      <w:r>
        <w:rPr>
          <w:rStyle w:val="CharStyle16"/>
          <w:b/>
          <w:bCs/>
          <w:u w:val="none"/>
        </w:rPr>
        <w:t>УСТАНОВИЛА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8"/>
        </w:rPr>
        <w:t xml:space="preserve">В Ставропольское УФАС России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Управление) поступила жалоба ИП Твердохлебовой Дианы Дмитриевны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Заявитель) на действия МУ Кочубеевского муниципального округа СК "Спортивный комплекс "Урожай""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Заказчик), Администрации Кочубеевского муниципального округа Ставропольского края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Уполномоченный орган) по факту осуществления закупки путем проведения запроса котировок в электронной форме </w:t>
      </w:r>
      <w:r>
        <w:rPr>
          <w:rStyle w:val="CharStyle18"/>
          <w:lang w:val="en-US" w:eastAsia="en-US"/>
        </w:rPr>
        <w:t xml:space="preserve">№0121600018126000055 </w:t>
      </w:r>
      <w:r>
        <w:rPr>
          <w:rStyle w:val="CharStyle18"/>
        </w:rPr>
        <w:t xml:space="preserve">«Поставка и монтаж спортивно-технологического оборудования для создания «умной» спортивной площадки. </w:t>
      </w:r>
      <w:r>
        <w:rPr>
          <w:rStyle w:val="CharStyle18"/>
          <w:lang w:val="en-US" w:eastAsia="en-US"/>
        </w:rPr>
        <w:t>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18"/>
        </w:rPr>
        <w:t xml:space="preserve">Жалоба Заявителя принята к производству и назначена к рассмотрению на </w:t>
      </w:r>
      <w:r>
        <w:rPr>
          <w:rStyle w:val="CharStyle18"/>
          <w:lang w:val="en-US" w:eastAsia="en-US"/>
        </w:rPr>
        <w:t xml:space="preserve">15.05.2026 </w:t>
      </w:r>
      <w:r>
        <w:rPr>
          <w:rStyle w:val="CharStyle18"/>
        </w:rPr>
        <w:t>г., о чем стороны надлежащим образом уведомлены через Единую информационную систему в сфере закупок (ЕИС).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8"/>
          <w:lang w:val="en-US" w:eastAsia="en-US"/>
        </w:rPr>
        <w:t xml:space="preserve">15.05.2026 </w:t>
      </w:r>
      <w:r>
        <w:rPr>
          <w:rStyle w:val="CharStyle18"/>
        </w:rPr>
        <w:t xml:space="preserve">г. Комиссия, рассмотрев доводы жалобы, проанализировав имеющиеся в деле документы, проведя в соответствии со 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>Закон №44-ФЗ, Закон о контрактной системе) внеплановую проверку закупки установила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8"/>
          <w:lang w:val="en-US" w:eastAsia="en-US"/>
        </w:rPr>
        <w:t xml:space="preserve">24.04.2026 </w:t>
      </w:r>
      <w:r>
        <w:rPr>
          <w:rStyle w:val="CharStyle18"/>
        </w:rPr>
        <w:t xml:space="preserve">г. Заказчиком опубликовано извещение о проведении закупки </w:t>
      </w:r>
      <w:r>
        <w:rPr>
          <w:rStyle w:val="CharStyle18"/>
          <w:lang w:val="en-US" w:eastAsia="en-US"/>
        </w:rPr>
        <w:t xml:space="preserve">№0121600018126000055 </w:t>
      </w:r>
      <w:r>
        <w:rPr>
          <w:rStyle w:val="CharStyle18"/>
        </w:rPr>
        <w:t xml:space="preserve">«Поставка и монтаж спортивно-технологического оборудования для создания «умной» спортивной площадки. </w:t>
      </w:r>
      <w:r>
        <w:rPr>
          <w:rStyle w:val="CharStyle18"/>
          <w:lang w:val="en-US" w:eastAsia="en-US"/>
        </w:rPr>
        <w:t xml:space="preserve">» </w:t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Извещение).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8"/>
        </w:rPr>
        <w:t xml:space="preserve">Начальная (максимальная) цена контракта составила </w:t>
      </w:r>
      <w:r>
        <w:rPr>
          <w:rStyle w:val="CharStyle18"/>
          <w:lang w:val="en-US" w:eastAsia="en-US"/>
        </w:rPr>
        <w:t xml:space="preserve">8 938 472,06 </w:t>
      </w:r>
      <w:r>
        <w:rPr>
          <w:rStyle w:val="CharStyle18"/>
        </w:rPr>
        <w:t>рублей.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/>
        <w:ind w:left="0" w:right="0" w:firstLine="680"/>
        <w:jc w:val="both"/>
      </w:pPr>
      <w:r>
        <w:rPr>
          <w:rStyle w:val="CharStyle18"/>
        </w:rPr>
        <w:t>ИП Твердохлебова Диана Дмитриевна, посчитав, что Извещение сформировано с нарушением требований Закона №44-ФЗ, подала жалобу в Управление.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8"/>
        </w:rPr>
        <w:t>Согласно доводу жалобы Заявителя Заказчиком в описании объекта закупки указаны характеристики, которые вводят в заблуждение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8"/>
        </w:rPr>
        <w:t>Комиссия Управления, проанализировав представленные материалы, приходит к выводу о необоснованности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8"/>
        </w:rPr>
        <w:t xml:space="preserve">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 описание объекта закупки должно содержать информацию (при наличии), предусмотренную, правилами использования каталога товаров, работ, услуг для обеспечения государственных и муниципальных нужд. Содержит информацию о количестве, единице измерения и месте поставки товара, информацию об объеме поставляемого товара и месте выполнения работы или оказания услуги, срок исполнения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8"/>
        </w:rPr>
        <w:t>При осуществлении закупки Заказчик вправе не только выбрать ее предмет, но и обязан определить его и описать в соответствии с нормами Закона о контрактной системе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8"/>
        </w:rPr>
        <w:t xml:space="preserve">Из пояснений Заказчика, следует, что </w:t>
      </w:r>
      <w:r>
        <w:rPr>
          <w:rStyle w:val="CharStyle18"/>
          <w:i/>
          <w:iCs/>
        </w:rPr>
        <w:t xml:space="preserve">в описании объекта закупки Заказчиком прямо указан предусмотренный пунктом </w:t>
      </w:r>
      <w:r>
        <w:rPr>
          <w:rStyle w:val="CharStyle18"/>
          <w:i/>
          <w:iCs/>
          <w:lang w:val="en-US" w:eastAsia="en-US"/>
        </w:rPr>
        <w:t xml:space="preserve">3.1.2.1 </w:t>
      </w:r>
      <w:r>
        <w:rPr>
          <w:rStyle w:val="CharStyle18"/>
          <w:i/>
          <w:iCs/>
        </w:rPr>
        <w:t xml:space="preserve">ГОСТа элемент </w:t>
      </w:r>
      <w:r>
        <w:rPr>
          <w:rStyle w:val="CharStyle18"/>
          <w:i/>
          <w:iCs/>
          <w:lang w:val="en-US" w:eastAsia="en-US"/>
        </w:rPr>
        <w:t xml:space="preserve">- </w:t>
      </w:r>
      <w:r>
        <w:rPr>
          <w:rStyle w:val="CharStyle18"/>
          <w:i/>
          <w:iCs/>
        </w:rPr>
        <w:t xml:space="preserve">«несущая ферма». Указание в скобках слова «(стойка)» носит исключительно пояснительный характер, так как в технической документации производителей, каталогах спортивного оборудования и общепринятой терминологии несущая контракция для крепления баскетбольного щита именуется баскетбольной стойкой. Данное уточнение никак не меняет функционального назначения элемента и не может ввести в заблуждение участника закупки. Требование о наличие «защиты стойки» (защитного протектора/обивки, монтируемого на металлическую опору) обусловлено требованиями травмбезопасности. ГОСТ Р </w:t>
      </w:r>
      <w:r>
        <w:rPr>
          <w:rStyle w:val="CharStyle18"/>
          <w:i/>
          <w:iCs/>
          <w:lang w:val="en-US" w:eastAsia="en-US"/>
        </w:rPr>
        <w:t xml:space="preserve">56434-2015 </w:t>
      </w:r>
      <w:r>
        <w:rPr>
          <w:rStyle w:val="CharStyle18"/>
          <w:i/>
          <w:iCs/>
        </w:rPr>
        <w:t xml:space="preserve">в разделе </w:t>
      </w:r>
      <w:r>
        <w:rPr>
          <w:rStyle w:val="CharStyle18"/>
          <w:i/>
          <w:iCs/>
          <w:lang w:val="en-US" w:eastAsia="en-US"/>
        </w:rPr>
        <w:t xml:space="preserve">3.1.2 </w:t>
      </w:r>
      <w:r>
        <w:rPr>
          <w:rStyle w:val="CharStyle18"/>
          <w:i/>
          <w:iCs/>
        </w:rPr>
        <w:t xml:space="preserve">содержит пункт </w:t>
      </w:r>
      <w:r>
        <w:rPr>
          <w:rStyle w:val="CharStyle18"/>
          <w:i/>
          <w:iCs/>
          <w:lang w:val="en-US" w:eastAsia="en-US"/>
        </w:rPr>
        <w:t xml:space="preserve">3.2.5, </w:t>
      </w:r>
      <w:r>
        <w:rPr>
          <w:rStyle w:val="CharStyle18"/>
          <w:i/>
          <w:iCs/>
        </w:rPr>
        <w:t>который прямо регламентирует требования к «обивке» (защите) баскетбольного оборудования.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8"/>
          <w:i/>
          <w:iCs/>
        </w:rPr>
        <w:t xml:space="preserve">Рама баскетбольного щита является неотъемлемым конструктивным элементом баскетбольного щита, к которому крепится материал самого щита и баскетбольное кольцо. Требования к материалу рамы установлены Заказчиком в соответствии с ГОСТ 32931-2015/ГОСТ </w:t>
      </w:r>
      <w:r>
        <w:rPr>
          <w:rStyle w:val="CharStyle18"/>
          <w:i/>
          <w:iCs/>
          <w:lang w:val="en-US" w:eastAsia="en-US"/>
        </w:rPr>
        <w:t>8639-82).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8"/>
          <w:i/>
          <w:iCs/>
        </w:rPr>
        <w:t xml:space="preserve">Понятие «фракция» означает совокупность гранул определенного размерного диапазона. Например «фракция2-4» </w:t>
      </w:r>
      <w:r>
        <w:rPr>
          <w:rStyle w:val="CharStyle18"/>
          <w:i/>
          <w:iCs/>
          <w:lang w:val="en-US" w:eastAsia="en-US"/>
        </w:rPr>
        <w:t xml:space="preserve">- </w:t>
      </w:r>
      <w:r>
        <w:rPr>
          <w:rStyle w:val="CharStyle18"/>
          <w:i/>
          <w:iCs/>
        </w:rPr>
        <w:t>это конкретное, стандартизированное номинальное наименование выпускаемого производителем материала.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8"/>
          <w:i/>
          <w:iCs/>
        </w:rPr>
        <w:t xml:space="preserve">В описании объекта закупки Заказчик устанавливает характеристику «Фракция применяемой крошки не шире </w:t>
      </w:r>
      <w:r>
        <w:rPr>
          <w:rStyle w:val="CharStyle18"/>
          <w:i/>
          <w:iCs/>
          <w:lang w:val="en-US" w:eastAsia="en-US"/>
        </w:rPr>
        <w:t xml:space="preserve">0,5-4 </w:t>
      </w:r>
      <w:r>
        <w:rPr>
          <w:rStyle w:val="CharStyle18"/>
          <w:i/>
          <w:iCs/>
        </w:rPr>
        <w:t xml:space="preserve">мм» т.е. предельно допустимые ситовые границы. Данная формулировка «не шире» является общеупотребимым техническим термином, не допускающим двоякого толкования. Она означает, что Заказчик не примет крошку, содержащую гранулы крупнее </w:t>
      </w:r>
      <w:r>
        <w:rPr>
          <w:rStyle w:val="CharStyle18"/>
          <w:i/>
          <w:iCs/>
          <w:lang w:val="en-US" w:eastAsia="en-US"/>
        </w:rPr>
        <w:t xml:space="preserve">4 </w:t>
      </w:r>
      <w:r>
        <w:rPr>
          <w:rStyle w:val="CharStyle18"/>
          <w:i/>
          <w:iCs/>
        </w:rPr>
        <w:t xml:space="preserve">мм (что сделает покрытие жестким) или пыль мельче </w:t>
      </w:r>
      <w:r>
        <w:rPr>
          <w:rStyle w:val="CharStyle18"/>
          <w:i/>
          <w:iCs/>
          <w:lang w:val="en-US" w:eastAsia="en-US"/>
        </w:rPr>
        <w:t xml:space="preserve">0,5 </w:t>
      </w:r>
      <w:r>
        <w:rPr>
          <w:rStyle w:val="CharStyle18"/>
          <w:i/>
          <w:iCs/>
        </w:rPr>
        <w:t>мм (что нарушит адгезию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  <w:i/>
          <w:iCs/>
        </w:rPr>
        <w:t xml:space="preserve">полиуретанового связующего). Участнику закупки, чтобы не нарушить инструкцию и предоставить достоверные сведения, достаточно указать конкретную номенклатурную марку фракции из паспорта производителя предлагаемой им крошки. Например, если участник укажет: «Фракция применяемой крошки: </w:t>
      </w:r>
      <w:r>
        <w:rPr>
          <w:rStyle w:val="CharStyle18"/>
          <w:i/>
          <w:iCs/>
          <w:lang w:val="en-US" w:eastAsia="en-US"/>
        </w:rPr>
        <w:t xml:space="preserve">1-3 </w:t>
      </w:r>
      <w:r>
        <w:rPr>
          <w:rStyle w:val="CharStyle18"/>
          <w:i/>
          <w:iCs/>
        </w:rPr>
        <w:t xml:space="preserve">мм» или «Фракция применяемой крошки: </w:t>
      </w:r>
      <w:r>
        <w:rPr>
          <w:rStyle w:val="CharStyle18"/>
          <w:i/>
          <w:iCs/>
          <w:lang w:val="en-US" w:eastAsia="en-US"/>
        </w:rPr>
        <w:t xml:space="preserve">0,5-4 </w:t>
      </w:r>
      <w:r>
        <w:rPr>
          <w:rStyle w:val="CharStyle18"/>
          <w:i/>
          <w:iCs/>
        </w:rPr>
        <w:t xml:space="preserve">мм» </w:t>
      </w:r>
      <w:r>
        <w:rPr>
          <w:rStyle w:val="CharStyle18"/>
          <w:i/>
          <w:iCs/>
          <w:lang w:val="en-US" w:eastAsia="en-US"/>
        </w:rPr>
        <w:t xml:space="preserve">- </w:t>
      </w:r>
      <w:r>
        <w:rPr>
          <w:rStyle w:val="CharStyle18"/>
          <w:i/>
          <w:iCs/>
        </w:rPr>
        <w:t xml:space="preserve">это будет являться предоставлением одного конкретного показателя (конкретного наименования фракции), который полностью укладывается в требование «не шире </w:t>
      </w:r>
      <w:r>
        <w:rPr>
          <w:rStyle w:val="CharStyle18"/>
          <w:i/>
          <w:iCs/>
          <w:lang w:val="en-US" w:eastAsia="en-US"/>
        </w:rPr>
        <w:t xml:space="preserve">0,5-4 </w:t>
      </w:r>
      <w:r>
        <w:rPr>
          <w:rStyle w:val="CharStyle18"/>
          <w:i/>
          <w:iCs/>
        </w:rPr>
        <w:t>мм».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  <w:i/>
          <w:iCs/>
        </w:rPr>
        <w:t xml:space="preserve">По позиции «Трибуна сборно-разборная» в описании объекта закупки указаны характеристики ширина прохода </w:t>
      </w:r>
      <w:r>
        <w:rPr>
          <w:rStyle w:val="CharStyle18"/>
          <w:i/>
          <w:iCs/>
          <w:lang w:val="en-US" w:eastAsia="en-US"/>
        </w:rPr>
        <w:t xml:space="preserve">≥ 1000, </w:t>
      </w:r>
      <w:r>
        <w:rPr>
          <w:rStyle w:val="CharStyle18"/>
          <w:i/>
          <w:iCs/>
        </w:rPr>
        <w:t xml:space="preserve">ширина настила между проходами </w:t>
      </w:r>
      <w:r>
        <w:rPr>
          <w:rStyle w:val="CharStyle18"/>
          <w:i/>
          <w:iCs/>
          <w:lang w:val="en-US" w:eastAsia="en-US"/>
        </w:rPr>
        <w:t xml:space="preserve">≥ 500 </w:t>
      </w:r>
      <w:r>
        <w:rPr>
          <w:rStyle w:val="CharStyle18"/>
          <w:i/>
          <w:iCs/>
        </w:rPr>
        <w:t>и количество проходов.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  <w:i/>
          <w:iCs/>
        </w:rPr>
        <w:t xml:space="preserve">«Количество проходов </w:t>
      </w:r>
      <w:r>
        <w:rPr>
          <w:rStyle w:val="CharStyle18"/>
          <w:i/>
          <w:iCs/>
          <w:lang w:val="en-US" w:eastAsia="en-US"/>
        </w:rPr>
        <w:t xml:space="preserve">— 1»: </w:t>
      </w:r>
      <w:r>
        <w:rPr>
          <w:rStyle w:val="CharStyle18"/>
          <w:i/>
          <w:iCs/>
        </w:rPr>
        <w:t>Данная характеристика сообщает о наличии в запрашиваемом модуле одного главного секторного (лестничного) прохода, обеспечивающего подъем зрителей на ряды.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  <w:i/>
          <w:iCs/>
        </w:rPr>
        <w:t xml:space="preserve">«Ширина прохода сектора трибуны </w:t>
      </w:r>
      <w:r>
        <w:rPr>
          <w:rStyle w:val="CharStyle18"/>
          <w:i/>
          <w:iCs/>
          <w:lang w:val="en-US" w:eastAsia="en-US"/>
        </w:rPr>
        <w:t xml:space="preserve">≥ 1000 </w:t>
      </w:r>
      <w:r>
        <w:rPr>
          <w:rStyle w:val="CharStyle18"/>
          <w:i/>
          <w:iCs/>
        </w:rPr>
        <w:t>мм»: Указывает габаритную ширину единственного секторного лестничного марша.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  <w:i/>
          <w:iCs/>
        </w:rPr>
        <w:t xml:space="preserve">«Ширина настила между проходами </w:t>
      </w:r>
      <w:r>
        <w:rPr>
          <w:rStyle w:val="CharStyle18"/>
          <w:i/>
          <w:iCs/>
          <w:lang w:val="en-US" w:eastAsia="en-US"/>
        </w:rPr>
        <w:t xml:space="preserve">≥ 500 </w:t>
      </w:r>
      <w:r>
        <w:rPr>
          <w:rStyle w:val="CharStyle18"/>
          <w:i/>
          <w:iCs/>
        </w:rPr>
        <w:t xml:space="preserve">мм»: Данная характеристика определяет размер площадки для ног (настила между рядами кресел), по которой зрители перемещаются от главного прохода сектора непосредственно до своего посадочного места (на изображении элементы обозначены цифрой </w:t>
      </w:r>
      <w:r>
        <w:rPr>
          <w:rStyle w:val="CharStyle18"/>
          <w:i/>
          <w:iCs/>
          <w:lang w:val="en-US" w:eastAsia="en-US"/>
        </w:rPr>
        <w:t>3).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  <w:i/>
          <w:iCs/>
        </w:rPr>
        <w:t xml:space="preserve">Исходя из совокупности требований, технический и функциональный смысл параметров предельно ясен: секторный проход для подьема </w:t>
      </w:r>
      <w:r>
        <w:rPr>
          <w:rStyle w:val="CharStyle18"/>
          <w:i/>
          <w:iCs/>
          <w:lang w:val="en-US" w:eastAsia="en-US"/>
        </w:rPr>
        <w:t xml:space="preserve">— </w:t>
      </w:r>
      <w:r>
        <w:rPr>
          <w:rStyle w:val="CharStyle18"/>
          <w:i/>
          <w:iCs/>
        </w:rPr>
        <w:t xml:space="preserve">один, а проходов- настилов для ног вдоль рядов кресел </w:t>
      </w:r>
      <w:r>
        <w:rPr>
          <w:rStyle w:val="CharStyle18"/>
          <w:i/>
          <w:iCs/>
          <w:lang w:val="en-US" w:eastAsia="en-US"/>
        </w:rPr>
        <w:t xml:space="preserve">— </w:t>
      </w:r>
      <w:r>
        <w:rPr>
          <w:rStyle w:val="CharStyle18"/>
          <w:i/>
          <w:iCs/>
        </w:rPr>
        <w:t>несколько.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  <w:i/>
          <w:iCs/>
        </w:rPr>
        <w:t xml:space="preserve">Характеристика «Расстояние между настилом пола до четвертого ряда трибуны, к нижней точке от 1800мм» устанавливает минимальный габаритный клиренс (свободное пространство по высоте) под конструкцией трибуны. Данный параметр необходим Заказчику для обеспечения безопасности (свободного прохода под трибуной) и возможности обслуживания территории (уборки мусора под конструкцией). Таким образом, Заказчик требует, чтобы вертикальное расстояние от земли до первой металлической балки под задним (четвертым) рядом составляло не менее </w:t>
      </w:r>
      <w:r>
        <w:rPr>
          <w:rStyle w:val="CharStyle18"/>
          <w:i/>
          <w:iCs/>
          <w:lang w:val="en-US" w:eastAsia="en-US"/>
        </w:rPr>
        <w:t xml:space="preserve">1,8 </w:t>
      </w:r>
      <w:r>
        <w:rPr>
          <w:rStyle w:val="CharStyle18"/>
          <w:i/>
          <w:iCs/>
        </w:rPr>
        <w:t>метра.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</w:rPr>
        <w:t xml:space="preserve">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>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8"/>
        </w:rPr>
        <w:t xml:space="preserve">Согласно 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44-ФЗ, документация о закупке в соответствии с требованиями, указанными в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в сфере закупок,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8"/>
        </w:rPr>
        <w:t>Из смысла указанных норм следует, что заказчик вправе в необходимой степени детализировать объект закупки, определяя такие характеристики закупаемого товара, которые будут иметь существенное значение для последующего использования товара.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8"/>
        </w:rPr>
        <w:t xml:space="preserve">Таким образом, в части доводов Заявителя Заказчиком описание объекта закупки сформировано в соответствии с требованиями 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80"/>
        <w:jc w:val="both"/>
      </w:pPr>
      <w:r>
        <w:rPr>
          <w:rStyle w:val="CharStyle18"/>
        </w:rPr>
        <w:t>Следовательно, доводы жалобы являются необоснованными.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/>
        <w:ind w:left="0" w:right="0" w:firstLine="600"/>
        <w:jc w:val="both"/>
      </w:pPr>
      <w:r>
        <w:rPr>
          <w:rStyle w:val="CharStyle18"/>
        </w:rPr>
        <w:t>В ходе проведения внеплановой проверки Комиссией установлено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8"/>
        </w:rPr>
        <w:t xml:space="preserve">В соответствии с частью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Закона №44-ФЗ описание объекта закупки в соответствии с требованиями, указанными в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8"/>
        </w:rPr>
        <w:t xml:space="preserve">В описании объекта закупки Заказчиком установлена характеристика </w:t>
      </w:r>
      <w:r>
        <w:rPr>
          <w:rStyle w:val="CharStyle18"/>
          <w:b/>
          <w:bCs/>
        </w:rPr>
        <w:t xml:space="preserve">Цвет кресел, навеса и металлоконструкций </w:t>
      </w:r>
      <w:r>
        <w:rPr>
          <w:rStyle w:val="CharStyle18"/>
          <w:b/>
          <w:bCs/>
          <w:lang w:val="en-US" w:eastAsia="en-US"/>
        </w:rPr>
        <w:t xml:space="preserve">- </w:t>
      </w:r>
      <w:r>
        <w:rPr>
          <w:rStyle w:val="CharStyle18"/>
          <w:b/>
          <w:bCs/>
        </w:rPr>
        <w:t>по согласованию с Заказчиком.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8"/>
        </w:rPr>
        <w:t>Указанное требование, обязывает Исполнителя согласовывать цвет кресел, навеса и металлоконструкций с Заказчиком после заключения контракта, что не позволяет однозначно определить соответствие закупаемого товара, установленным Заказчиком требованиям, при рассмотрении и оценке заявок, поданных участниками, так ни диапазон цвета, ни конкретные цвета поставляемого товара не определены заказчиком в описании объекта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8"/>
        </w:rPr>
        <w:t xml:space="preserve">Учитывая изложенное, Комиссия приходит к выводу, что Заказчиком допущены нарушения 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8"/>
        </w:rPr>
        <w:t xml:space="preserve">Комиссия, руководствуясь ст. </w:t>
      </w:r>
      <w:r>
        <w:rPr>
          <w:rStyle w:val="CharStyle18"/>
          <w:lang w:val="en-US" w:eastAsia="en-US"/>
        </w:rPr>
        <w:t xml:space="preserve">99,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44-ФЗ,</w:t>
      </w:r>
      <w:r>
        <w:br w:type="page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  <w:u w:val="none"/>
        </w:rPr>
        <w:t>РЕШИЛА</w:t>
      </w:r>
      <w:bookmarkEnd w:id="12"/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7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Признать жалобу ИП Твердохлебовой Дианы Дмитриевны на действия МУ Кочубеевского муниципального округа СК "Спортивный комплекс "Урожай"", Администрации Кочубеевского муниципального округа Ставропольского края по факту осуществления закупки путем проведения запроса котировок в электронной форме </w:t>
      </w:r>
      <w:r>
        <w:rPr>
          <w:rStyle w:val="CharStyle18"/>
          <w:lang w:val="en-US" w:eastAsia="en-US"/>
        </w:rPr>
        <w:t xml:space="preserve">№0121600018126000055 </w:t>
      </w:r>
      <w:r>
        <w:rPr>
          <w:rStyle w:val="CharStyle18"/>
        </w:rPr>
        <w:t xml:space="preserve">«Поставка и монтаж спортивно-технологического оборудования для создания «умной» спортивной площадки»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необоснованной.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По результатам проведения в порядке статьи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 внеплановой проверки признать действия МУ Кочубеевского муниципального округа СК "Спортивный комплекс "Урожай"" нарушившими требования 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44-ФЗ, в связи с чем выдать обязательное для исполнения предписание.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2" w:val="left"/>
        </w:tabs>
        <w:bidi w:val="0"/>
        <w:spacing w:before="0" w:after="0"/>
        <w:ind w:left="0" w:right="0" w:firstLine="720"/>
        <w:jc w:val="both"/>
      </w:pPr>
      <w:r>
        <w:rPr>
          <w:rStyle w:val="CharStyle18"/>
        </w:rPr>
        <w:t xml:space="preserve">Передать должностному лицу Управления материалы данного дела для решения вопроса о возбуждении дела об административном правонарушении по части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7.30.1 </w:t>
      </w:r>
      <w:r>
        <w:rPr>
          <w:rStyle w:val="CharStyle18"/>
        </w:rPr>
        <w:t xml:space="preserve">Кодекса Российской Федерации об административных правонарушениях от </w:t>
      </w:r>
      <w:r>
        <w:rPr>
          <w:rStyle w:val="CharStyle18"/>
          <w:lang w:val="en-US" w:eastAsia="en-US"/>
        </w:rPr>
        <w:t xml:space="preserve">30.12.2001 № </w:t>
      </w:r>
      <w:r>
        <w:rPr>
          <w:rStyle w:val="CharStyle18"/>
        </w:rPr>
        <w:t>195-ФЗ.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5" w:right="779" w:bottom="638" w:left="74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167640" distL="0" distR="0" simplePos="0" relativeHeight="125829380" behindDoc="0" locked="0" layoutInCell="1" allowOverlap="1">
                <wp:simplePos x="0" y="0"/>
                <wp:positionH relativeFrom="page">
                  <wp:posOffset>380365</wp:posOffset>
                </wp:positionH>
                <wp:positionV relativeFrom="paragraph">
                  <wp:posOffset>317500</wp:posOffset>
                </wp:positionV>
                <wp:extent cx="182245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9.949999999999999pt;margin-top:25.pt;width:143.5pt;height:19.900000000000002pt;z-index:-125829373;mso-wrap-distance-left:0;mso-wrap-distance-top:25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8790" distB="0" distL="0" distR="0" simplePos="0" relativeHeight="125829382" behindDoc="0" locked="0" layoutInCell="1" allowOverlap="1">
                <wp:simplePos x="0" y="0"/>
                <wp:positionH relativeFrom="page">
                  <wp:posOffset>2715260</wp:posOffset>
                </wp:positionH>
                <wp:positionV relativeFrom="paragraph">
                  <wp:posOffset>478790</wp:posOffset>
                </wp:positionV>
                <wp:extent cx="1722120" cy="25908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13.80000000000001pt;margin-top:37.700000000000003pt;width:135.59999999999999pt;height:20.400000000000002pt;z-index:-125829371;mso-wrap-distance-left:0;mso-wrap-distance-top:37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167640" distL="0" distR="0" simplePos="0" relativeHeight="125829384" behindDoc="0" locked="0" layoutInCell="1" allowOverlap="1">
                <wp:simplePos x="0" y="0"/>
                <wp:positionH relativeFrom="page">
                  <wp:posOffset>5796915</wp:posOffset>
                </wp:positionH>
                <wp:positionV relativeFrom="paragraph">
                  <wp:posOffset>317500</wp:posOffset>
                </wp:positionV>
                <wp:extent cx="102997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6.44999999999999pt;margin-top:25.pt;width:81.100000000000009pt;height:19.900000000000002pt;z-index:-125829369;mso-wrap-distance-left:0;mso-wrap-distance-top:25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</w:t>
      </w:r>
      <w:r>
        <w:rPr>
          <w:rStyle w:val="CharStyle31"/>
          <w:color w:val="565656"/>
        </w:rPr>
        <w:t xml:space="preserve">выдан: </w:t>
      </w:r>
      <w:r>
        <w:rPr>
          <w:rStyle w:val="CharStyle31"/>
          <w:color w:val="000000"/>
        </w:rPr>
        <w:t>Соколов Евгений Анатольевич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00FA6B784FE</w:t>
      </w:r>
      <w:r>
        <w:rPr>
          <w:rStyle w:val="CharStyle31"/>
          <w:color w:val="292929"/>
        </w:rPr>
        <w:t>1</w:t>
      </w:r>
      <w:r>
        <w:rPr>
          <w:rStyle w:val="CharStyle31"/>
          <w:lang w:val="en-US" w:eastAsia="en-US"/>
        </w:rPr>
        <w:t>99EF6925BAD25</w:t>
      </w:r>
      <w:r>
        <w:rPr>
          <w:rStyle w:val="CharStyle31"/>
          <w:color w:val="292929"/>
        </w:rPr>
        <w:t>1</w:t>
      </w:r>
      <w:r>
        <w:rPr>
          <w:rStyle w:val="CharStyle31"/>
          <w:color w:val="565656"/>
        </w:rPr>
        <w:t>7В93ЕВ06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Действителен с 12.03.2026 </w:t>
      </w:r>
      <w:r>
        <w:rPr>
          <w:rStyle w:val="CharStyle31"/>
          <w:color w:val="565656"/>
        </w:rPr>
        <w:t>по 05.06.2027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2263775</wp:posOffset>
            </wp:positionH>
            <wp:positionV relativeFrom="paragraph">
              <wp:posOffset>25400</wp:posOffset>
            </wp:positionV>
            <wp:extent cx="389890" cy="56070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467360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6.90000000000001pt;margin-top:36.80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150495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13.75pt;margin-top:11.8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К.О. Каранова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Каранова Ксения Олеговна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00D356A5FA8EF5B441C1A30AC04799E6C</w:t>
      </w:r>
      <w:r>
        <w:rPr>
          <w:rStyle w:val="CharStyle31"/>
          <w:lang w:val="en-US" w:eastAsia="en-US"/>
        </w:rPr>
        <w:t>C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>Действителен с 27.1</w:t>
      </w:r>
      <w:r>
        <w:rPr>
          <w:rStyle w:val="CharStyle31"/>
          <w:color w:val="292929"/>
        </w:rPr>
        <w:t>1</w:t>
      </w:r>
      <w:r>
        <w:rPr>
          <w:rStyle w:val="CharStyle31"/>
          <w:color w:val="565656"/>
        </w:rPr>
        <w:t xml:space="preserve">.2025 по </w:t>
      </w:r>
      <w:r>
        <w:rPr>
          <w:rStyle w:val="CharStyle31"/>
        </w:rPr>
        <w:t>20.02.2027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А.И. Ивакина</w:t>
      </w:r>
    </w:p>
    <w:p>
      <w:pPr>
        <w:widowControl w:val="0"/>
        <w:spacing w:line="1" w:lineRule="exact"/>
      </w:pPr>
      <w:r>
        <w:drawing>
          <wp:anchor distT="0" distB="0" distL="0" distR="1816735" simplePos="0" relativeHeight="125829387" behindDoc="0" locked="0" layoutInCell="1" allowOverlap="1">
            <wp:simplePos x="0" y="0"/>
            <wp:positionH relativeFrom="page">
              <wp:posOffset>2324735</wp:posOffset>
            </wp:positionH>
            <wp:positionV relativeFrom="paragraph">
              <wp:posOffset>0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60960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13.75pt;margin-top:4.7999999999999998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Ивакина Анастасия Игоревна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00942F2960FE6CC9DA931382B180F98715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31"/>
        </w:rPr>
        <w:t xml:space="preserve">Действителен с 02.12.2025 </w:t>
      </w:r>
      <w:r>
        <w:rPr>
          <w:rStyle w:val="CharStyle31"/>
          <w:color w:val="565656"/>
        </w:rPr>
        <w:t xml:space="preserve">по </w:t>
      </w:r>
      <w:r>
        <w:rPr>
          <w:rStyle w:val="CharStyle31"/>
        </w:rPr>
        <w:t>25.02.2027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Исп.Ивакина А.И.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2" w:right="1106" w:bottom="2536" w:left="53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532765</wp:posOffset>
              </wp:positionH>
              <wp:positionV relativeFrom="page">
                <wp:posOffset>10016490</wp:posOffset>
              </wp:positionV>
              <wp:extent cx="66167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2026-5733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1.950000000000003pt;margin-top:788.70000000000005pt;width:52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2026-5733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650875</wp:posOffset>
              </wp:positionH>
              <wp:positionV relativeFrom="page">
                <wp:posOffset>10107930</wp:posOffset>
              </wp:positionV>
              <wp:extent cx="66167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2026-5733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1.25pt;margin-top:795.89999999999998pt;width:52.1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2026-5733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3736340</wp:posOffset>
              </wp:positionH>
              <wp:positionV relativeFrom="page">
                <wp:posOffset>704850</wp:posOffset>
              </wp:positionV>
              <wp:extent cx="7620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4.19999999999999pt;margin-top:55.5pt;width:6.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6">
    <w:name w:val="Heading #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3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7">
    <w:name w:val="Picture caption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1">
    <w:name w:val="Body text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2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spacing w:line="257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3)"/>
    <w:basedOn w:val="Normal"/>
    <w:link w:val="CharStyle20"/>
    <w:pPr>
      <w:widowControl w:val="0"/>
      <w:shd w:val="clear" w:color="auto" w:fill="auto"/>
      <w:spacing w:after="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3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6">
    <w:name w:val="Picture caption"/>
    <w:basedOn w:val="Normal"/>
    <w:link w:val="CharStyle2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0">
    <w:name w:val="Body text (2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