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0"/>
        <w:ind w:left="0" w:right="0" w:firstLine="0"/>
        <w:jc w:val="center"/>
      </w:pPr>
      <w:r>
        <w:rPr>
          <w:rStyle w:val="CharStyle9"/>
        </w:rPr>
        <w:tab/>
        <w:t xml:space="preserve"> №</w:t>
        <w:tab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ООО «Процветание»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ул. Фрунзе, д. 40, к. 7, г. Омск, 644043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fldChar w:fldCharType="begin"/>
      </w:r>
      <w:r>
        <w:rPr/>
        <w:instrText> HYPERLINK "mailto:lwc.omsk@gmail.com" </w:instrText>
      </w:r>
      <w:r>
        <w:fldChar w:fldCharType="separate"/>
      </w:r>
      <w:r>
        <w:rPr>
          <w:rStyle w:val="CharStyle11"/>
          <w:lang w:val="en-US" w:eastAsia="en-US"/>
        </w:rPr>
        <w:t>lwc.omsk@gmail.com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КГБУЗ «Красноярская межрайонная детская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клиническая больница № 5»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ул. Щорса, д. 83, г. Красноярск, 660122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fldChar w:fldCharType="begin"/>
      </w:r>
      <w:r>
        <w:rPr/>
        <w:instrText> HYPERLINK "mailto:gdkb.5@mail.ru" </w:instrText>
      </w:r>
      <w:r>
        <w:fldChar w:fldCharType="separate"/>
      </w:r>
      <w:r>
        <w:rPr>
          <w:rStyle w:val="CharStyle11"/>
          <w:lang w:val="en-US" w:eastAsia="en-US"/>
        </w:rPr>
        <w:t>gdkb.5@mail.ru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ООО «РТС-тендер»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1"/>
          <w:lang w:val="en-US" w:eastAsia="en-US"/>
        </w:rPr>
        <w:t>ko@rts-tender.ru</w:t>
      </w:r>
      <w:r>
        <w:fldChar w:fldCharType="end"/>
      </w:r>
      <w:r>
        <w:rPr>
          <w:rStyle w:val="CharStyle11"/>
          <w:lang w:val="en-US" w:eastAsia="en-US"/>
        </w:rPr>
        <w:t>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189" w:bottom="1212" w:left="1135" w:header="0" w:footer="3" w:gutter="0"/>
          <w:pgNumType w:start="1"/>
          <w:cols w:num="2" w:space="955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1"/>
          <w:lang w:val="en-US" w:eastAsia="en-US"/>
        </w:rPr>
        <w:t>info@rts-tender.ru</w:t>
      </w:r>
      <w:r>
        <w:fldChar w:fldCharType="end"/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4066" w:h="206" w:wrap="none" w:vAnchor="text" w:hAnchor="page" w:x="1136" w:y="2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3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35610" distB="0" distL="6350" distR="0" simplePos="0" relativeHeight="62914694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448310</wp:posOffset>
            </wp:positionV>
            <wp:extent cx="2597150" cy="18288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37" w:bottom="1221" w:left="109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63" w:after="6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2" w:right="0" w:bottom="11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1"/>
        </w:rPr>
        <w:t>Решение № 024/06/105-1547/2026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6356350</wp:posOffset>
                </wp:positionH>
                <wp:positionV relativeFrom="paragraph">
                  <wp:posOffset>12700</wp:posOffset>
                </wp:positionV>
                <wp:extent cx="847090" cy="20447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709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00.5pt;margin-top:1.pt;width:66.700000000000003pt;height:16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18 мая 2026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Комиссия Красноярского УФАС России по контролю в сфере закупок в составе: Председатель Комиссии — К.С. Варава, заместитель начальника отдела, члены комиссии: Н.С. Криворучкин, ведущий специалист-эксперт, А.О. Сидоров, ведущий специалист-эксперт (далее — Комиссия), рассмотрев жалобу ООО «Процветание» (далее — податель жалобы) на действия аукционной комиссии заказчика — КГБУЗ «Красноярская межрайонная детская клиническая больница № 5» (далее — заказчик) при проведении открытого аукциона в электронной форме на поставку с доставкой медицинских изделий (концентратор кислорода мобильный/портативный) для паллиативной службы (далее — электронный аукцион), извещение № 0319200060626000074, ИКЗ 262246100239524610100100010730000244 на электронной торговой площадке ООО «РТС-тендер» (далее — оператор электронной площадки),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Существо жалобы: нарушение закупочной комиссией порядка рассмотрения заявок при проведении электронного аукциона, предусмотренного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mc:AlternateContent>
          <mc:Choice Requires="wps">
            <w:drawing>
              <wp:anchor distT="0" distB="454025" distL="27940" distR="15875" simplePos="0" relativeHeight="125829380" behindDoc="0" locked="0" layoutInCell="1" allowOverlap="1">
                <wp:simplePos x="0" y="0"/>
                <wp:positionH relativeFrom="page">
                  <wp:posOffset>7112635</wp:posOffset>
                </wp:positionH>
                <wp:positionV relativeFrom="paragraph">
                  <wp:posOffset>25400</wp:posOffset>
                </wp:positionV>
                <wp:extent cx="88265" cy="20447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26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с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60.05000000000007pt;margin-top:2.pt;width:6.9500000000000002pt;height:16.100000000000001pt;z-index:-125829373;mso-wrap-distance-left:2.2000000000000002pt;mso-wrap-distance-right:1.25pt;mso-wrap-distance-bottom:35.7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с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292735" distB="0" distL="12700" distR="12700" simplePos="0" relativeHeight="125829382" behindDoc="0" locked="0" layoutInCell="1" allowOverlap="1">
                <wp:simplePos x="0" y="0"/>
                <wp:positionH relativeFrom="page">
                  <wp:posOffset>7097395</wp:posOffset>
                </wp:positionH>
                <wp:positionV relativeFrom="paragraph">
                  <wp:posOffset>318135</wp:posOffset>
                </wp:positionV>
                <wp:extent cx="106680" cy="365760"/>
                <wp:wrapSquare wrapText="left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о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58.85000000000002pt;margin-top:25.050000000000001pt;width:8.4000000000000004pt;height:28.800000000000001pt;z-index:-125829371;mso-wrap-distance-left:1.pt;mso-wrap-distance-top:23.050000000000001pt;mso-wrap-distance-right:1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о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В адрес подателя жалобы, заказчика было направлено уведомление о содержании жалобы информацией о месте и времени ее рассмотрения.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Перед рассмотрением жалобы в адрес Комиссии поступило ходатайство подателя жалобы рассмотрении жалобы посредством видео-конференц-связи, указанное ходатайство было рассмотрено удовлетворено.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Кроме того, в адрес Комиссии поступило ходатайство заинтересованного лица — победителя закупки ООО «Ино Тренд Групп» об участии в рассмотрении жалобы посредством видео-конференц</w:t>
        <w:softHyphen/>
        <w:t>связи, указанное ходатайство было рассмотрено и удовлетворено.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rStyle w:val="CharStyle11"/>
        </w:rPr>
        <w:t>Заседание Комиссии по рассмотрению жалобы по существу состоялось 18.05.2026 в 11 часов 00 минут (время местное) в присутствии представителя заказчика, надлежащим образом подтвердившего свою личность и полномочия. Посредством видео-конференц-связи присутствовали представители подателя жалобы и заинтересованного лица, надлежащим образом подтвердившие свои личности и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5"/>
        </w:rPr>
        <w:t>IIIIIIIIIIIIIIIIIIIIIIII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полномочия.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Из жалобы следует, что, по мнению подателя жалобы, заказчик необоснованно признал соответствующей заявку победителя закупки, в которой содержалось предложение к поставке товара, не соответствующего требованиям, установленным в извещении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Заказчиком были представлены письменные возражения в отношении доводов жалобы, из которых следует, что рассмотрение заявок на участие в закупке проведено правомерно.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</w:t>
        <w:softHyphen/>
        <w:t xml:space="preserve">телекоммуникационной сети Интернет (далее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>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связи с возникшей потребностью у заказчика им были совершены действия по проведению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Объектом закупки, исходя из извещения </w:t>
      </w:r>
      <w:r>
        <w:rPr>
          <w:rStyle w:val="CharStyle11"/>
          <w:lang w:val="en-US" w:eastAsia="en-US"/>
        </w:rPr>
        <w:t xml:space="preserve">№ 0319200060626000074, </w:t>
      </w:r>
      <w:r>
        <w:rPr>
          <w:rStyle w:val="CharStyle11"/>
        </w:rPr>
        <w:t>является поставка концентратора кислорода для нужд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Податель жалобы в своей жалобе предположил, что победителем закупки был предложен к поставке Концентратор кислородный медицинский </w:t>
      </w:r>
      <w:r>
        <w:rPr>
          <w:rStyle w:val="CharStyle11"/>
          <w:lang w:val="en-US" w:eastAsia="en-US"/>
        </w:rPr>
        <w:t xml:space="preserve">Atmung® Leben 01 </w:t>
      </w:r>
      <w:r>
        <w:rPr>
          <w:rStyle w:val="CharStyle11"/>
        </w:rPr>
        <w:t xml:space="preserve">(Либен </w:t>
      </w:r>
      <w:r>
        <w:rPr>
          <w:rStyle w:val="CharStyle11"/>
          <w:lang w:val="en-US" w:eastAsia="en-US"/>
        </w:rPr>
        <w:t xml:space="preserve">01), </w:t>
      </w:r>
      <w:r>
        <w:rPr>
          <w:rStyle w:val="CharStyle11"/>
        </w:rPr>
        <w:t xml:space="preserve">РЗН </w:t>
      </w:r>
      <w:r>
        <w:rPr>
          <w:rStyle w:val="CharStyle11"/>
          <w:lang w:val="en-US" w:eastAsia="en-US"/>
        </w:rPr>
        <w:t xml:space="preserve">2024/21900, </w:t>
      </w:r>
      <w:r>
        <w:rPr>
          <w:rStyle w:val="CharStyle11"/>
        </w:rPr>
        <w:t xml:space="preserve">и указал, что указанное медицинское изделие не соответствует характеристике «Концентрация кислорода: </w:t>
      </w:r>
      <w:r>
        <w:rPr>
          <w:rStyle w:val="CharStyle11"/>
          <w:lang w:val="en-US" w:eastAsia="en-US"/>
        </w:rPr>
        <w:t xml:space="preserve">≥ 80%», </w:t>
      </w:r>
      <w:r>
        <w:rPr>
          <w:rStyle w:val="CharStyle11"/>
        </w:rPr>
        <w:t xml:space="preserve">так как на странице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 xml:space="preserve">руководства по эксплуатации указана номинальная концентрация кислорода в полученном газе, выраженная как процент по обьему кислорода, при потоке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л/мин, </w:t>
      </w:r>
      <w:r>
        <w:rPr>
          <w:rStyle w:val="CharStyle11"/>
          <w:lang w:val="en-US" w:eastAsia="en-US"/>
        </w:rPr>
        <w:t xml:space="preserve">% </w:t>
      </w:r>
      <w:r>
        <w:rPr>
          <w:rStyle w:val="CharStyle11"/>
        </w:rPr>
        <w:t xml:space="preserve">при «Постоянном» потоке </w:t>
      </w:r>
      <w:r>
        <w:rPr>
          <w:rStyle w:val="CharStyle11"/>
          <w:lang w:val="en-US" w:eastAsia="en-US"/>
        </w:rPr>
        <w:t xml:space="preserve">– 60 </w:t>
      </w:r>
      <w:r>
        <w:rPr>
          <w:rStyle w:val="CharStyle11"/>
        </w:rPr>
        <w:t xml:space="preserve">процентов плюс/минус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(что составляет менее </w:t>
      </w:r>
      <w:r>
        <w:rPr>
          <w:rStyle w:val="CharStyle11"/>
          <w:lang w:val="en-US" w:eastAsia="en-US"/>
        </w:rPr>
        <w:t>80%).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Комиссией установлено, что победителем действительно был предложен к поставке указанный подателем жалобы концентратор кислорода.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Комиссия, изучив руководство по эксплуатации к указанному концентратору, пришла к выводу о том, что доводы подателя жалобы не находят своего подтверждения в силу следующего.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Заказчиком в извещении об осуществлении закупки установлены характеристики «Максимальная производительность, л/мин: </w:t>
      </w:r>
      <w:r>
        <w:rPr>
          <w:rStyle w:val="CharStyle11"/>
          <w:lang w:val="en-US" w:eastAsia="en-US"/>
        </w:rPr>
        <w:t xml:space="preserve">≥ 1» </w:t>
      </w:r>
      <w:r>
        <w:rPr>
          <w:rStyle w:val="CharStyle11"/>
        </w:rPr>
        <w:t xml:space="preserve">и «Концентрация кислорода: </w:t>
      </w:r>
      <w:r>
        <w:rPr>
          <w:rStyle w:val="CharStyle11"/>
          <w:lang w:val="en-US" w:eastAsia="en-US"/>
        </w:rPr>
        <w:t>≥ 80%».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Указанное свидетельствует о том, что предлагаемый к поставке концентратор кислорода должен обеспечивать концентрацию кислорода не менее </w:t>
      </w:r>
      <w:r>
        <w:rPr>
          <w:rStyle w:val="CharStyle11"/>
          <w:lang w:val="en-US" w:eastAsia="en-US"/>
        </w:rPr>
        <w:t xml:space="preserve">80% </w:t>
      </w:r>
      <w:r>
        <w:rPr>
          <w:rStyle w:val="CharStyle11"/>
        </w:rPr>
        <w:t xml:space="preserve">при потоке не менее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л/мин.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Рассматриваемый концентратор имеет характеристику «Номинальная концентрация кислорода в полученном газе, выраженную как процент по обьему кислорода, при потоке не менее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л/мин, </w:t>
      </w:r>
      <w:r>
        <w:rPr>
          <w:rStyle w:val="CharStyle11"/>
          <w:lang w:val="en-US" w:eastAsia="en-US"/>
        </w:rPr>
        <w:t xml:space="preserve">%: </w:t>
      </w:r>
      <w:r>
        <w:rPr>
          <w:rStyle w:val="CharStyle11"/>
        </w:rPr>
        <w:t xml:space="preserve">Постоянный поток </w:t>
      </w:r>
      <w:r>
        <w:rPr>
          <w:rStyle w:val="CharStyle11"/>
          <w:lang w:val="en-US" w:eastAsia="en-US"/>
        </w:rPr>
        <w:t xml:space="preserve">— 93±3; </w:t>
      </w:r>
      <w:r>
        <w:rPr>
          <w:rStyle w:val="CharStyle11"/>
        </w:rPr>
        <w:t xml:space="preserve">Импульсный поток </w:t>
      </w:r>
      <w:r>
        <w:rPr>
          <w:rStyle w:val="CharStyle11"/>
          <w:lang w:val="en-US" w:eastAsia="en-US"/>
        </w:rPr>
        <w:t xml:space="preserve">— 93±3» </w:t>
      </w:r>
      <w:r>
        <w:rPr>
          <w:rStyle w:val="CharStyle11"/>
        </w:rPr>
        <w:t xml:space="preserve">(страница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>руководства по эксплуатации).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Соответственно, вопреки доводам подателя жалобы при требуемом заказчику потоке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л/мин концентратор кислорода имеет концентрацию кислорода более </w:t>
      </w:r>
      <w:r>
        <w:rPr>
          <w:rStyle w:val="CharStyle11"/>
          <w:lang w:val="en-US" w:eastAsia="en-US"/>
        </w:rPr>
        <w:t xml:space="preserve">80% </w:t>
      </w:r>
      <w:r>
        <w:rPr>
          <w:rStyle w:val="CharStyle11"/>
        </w:rPr>
        <w:t>как при постоянном, так и при импульсном потоке.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 основании вышеизложенных обстоятельств, в результате рассмотрения жалобы по существу и проведения внеплановой проверки, руководствуясь частями </w:t>
      </w:r>
      <w:r>
        <w:rPr>
          <w:rStyle w:val="CharStyle11"/>
          <w:lang w:val="en-US" w:eastAsia="en-US"/>
        </w:rPr>
        <w:t xml:space="preserve">3, 15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99, </w:t>
      </w:r>
      <w:r>
        <w:rPr>
          <w:rStyle w:val="CharStyle11"/>
        </w:rPr>
        <w:t xml:space="preserve">частью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106 </w:t>
      </w:r>
      <w:r>
        <w:rPr>
          <w:rStyle w:val="CharStyle11"/>
        </w:rPr>
        <w:t>Закона о контрактной системе, Положением о ФАС России и Положением о территориальном органе ФАС России Комиссия Красноярского УФАС России решила признать жалобу ООО «Процветание»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20"/>
        <w:jc w:val="both"/>
      </w:pPr>
      <w:r>
        <w:rPr>
          <w:rStyle w:val="CharStyle11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9024" w:val="left"/>
        </w:tabs>
        <w:bidi w:val="0"/>
        <w:spacing w:before="0" w:after="560" w:line="240" w:lineRule="auto"/>
        <w:ind w:left="0" w:right="0" w:firstLine="0"/>
        <w:jc w:val="both"/>
      </w:pPr>
      <w:r>
        <w:rPr>
          <w:rStyle w:val="CharStyle11"/>
        </w:rPr>
        <w:t>Председатель Комиссии</w:t>
        <w:tab/>
        <w:t>К.С. Варава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434" w:val="left"/>
        </w:tabs>
        <w:bidi w:val="0"/>
        <w:spacing w:before="0" w:after="560" w:line="240" w:lineRule="auto"/>
        <w:ind w:left="0" w:right="0" w:firstLine="0"/>
        <w:jc w:val="both"/>
      </w:pPr>
      <w:r>
        <w:rPr>
          <w:rStyle w:val="CharStyle11"/>
        </w:rPr>
        <w:t>Члены Комиссии</w:t>
        <w:tab/>
        <w:t>Н.С. Криворучкин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11"/>
        </w:rPr>
        <w:t>А.О. Сидоров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  <w:rPr>
          <w:sz w:val="20"/>
          <w:szCs w:val="20"/>
        </w:rPr>
      </w:pPr>
      <w:r>
        <w:rPr>
          <w:rStyle w:val="CharStyle11"/>
          <w:sz w:val="20"/>
          <w:szCs w:val="20"/>
        </w:rPr>
        <w:t>Исп.Криворучкин Н.С. тел.(319)2110144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2" w:right="534" w:bottom="1189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10001885</wp:posOffset>
              </wp:positionV>
              <wp:extent cx="6477000" cy="12192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70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0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2026-7656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649999999999999pt;margin-top:787.55000000000007pt;width:510.pt;height:9.5999999999999996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0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2026-7656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48970" cy="12509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2026-7656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5.95000000000005pt;width:51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2026-7656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