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1760" distL="1169035" distR="1129030" simplePos="0" relativeHeight="125829378" behindDoc="0" locked="0" layoutInCell="1" allowOverlap="1">
            <wp:simplePos x="0" y="0"/>
            <wp:positionH relativeFrom="page">
              <wp:posOffset>1772285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5255" simplePos="0" relativeHeight="125829379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728980</wp:posOffset>
                </wp:positionV>
                <wp:extent cx="2581910" cy="17557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755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пр. Ворошиловский, 2/2, офис 403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г. Ростов-на-Дону, 344006</w:t>
                              <w:br/>
                              <w:t>тел. (863) 263-31-04, факс (863) 240-99-59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"mailto:to61@fas.gov.ru"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to61@fas.gov.ru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line="266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5pt;margin-top:57.399999999999999pt;width:203.30000000000001pt;height:138.25pt;z-index:-125829374;mso-wrap-distance-left:9.pt;mso-wrap-distance-top:56.399999999999999pt;mso-wrap-distance-right:10.65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пр. Ворошиловский, 2/2, офис 403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г. Ростов-на-Дону, 344006</w:t>
                        <w:br/>
                        <w:t>тел. (863) 263-31-04, факс (863) 240-99-59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"mailto:to61@fas.gov.ru"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to61@fas.gov.ru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line="266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4195" distB="0" distL="120650" distR="114300" simplePos="0" relativeHeight="125829381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3096895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2661285</wp:posOffset>
                </wp:positionV>
                <wp:extent cx="2581910" cy="1339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9"/>
                                <w:rFonts w:ascii="Times New Roman" w:eastAsia="Times New Roman" w:hAnsi="Times New Roman" w:cs="Times New Roman"/>
                                <w:color w:val="476097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5pt;margin-top:209.55000000000001pt;width:203.30000000000001pt;height:10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9"/>
                          <w:rFonts w:ascii="Times New Roman" w:eastAsia="Times New Roman" w:hAnsi="Times New Roman" w:cs="Times New Roman"/>
                          <w:color w:val="476097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6063615</wp:posOffset>
                </wp:positionH>
                <wp:positionV relativeFrom="paragraph">
                  <wp:posOffset>6699250</wp:posOffset>
                </wp:positionV>
                <wp:extent cx="1185545" cy="61595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615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С.В. Батурин,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В.Д. Кириленко,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Вертий,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7.44999999999999pt;margin-top:527.5pt;width:93.350000000000009pt;height:48.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С.В. Батурин,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В.Д. Кириленко,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Вертий,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060" w:right="0" w:firstLine="0"/>
        <w:jc w:val="left"/>
      </w:pPr>
      <w:r>
        <w:rPr>
          <w:rStyle w:val="CharStyle12"/>
          <w:b/>
          <w:bCs/>
        </w:rPr>
        <w:t xml:space="preserve">ООО «НОРДВЕСТЛАБ» (далее — Заявитель) </w:t>
      </w:r>
      <w:r>
        <w:rPr>
          <w:rStyle w:val="CharStyle12"/>
        </w:rPr>
        <w:t xml:space="preserve">26-я Линия, д. 15, к. 2, литера А, помещ. 107-Н, оф. 9.03, г. Санкт-Петербург, 199106 </w:t>
      </w:r>
      <w:r>
        <w:fldChar w:fldCharType="begin"/>
      </w:r>
      <w:r>
        <w:rPr/>
        <w:instrText> HYPERLINK "mailto:torg@nordwestlab.ru" </w:instrText>
      </w:r>
      <w:r>
        <w:fldChar w:fldCharType="separate"/>
      </w:r>
      <w:r>
        <w:rPr>
          <w:rStyle w:val="CharStyle12"/>
          <w:lang w:val="en-US" w:eastAsia="en-US"/>
        </w:rPr>
        <w:t>torg@nordwestlab.ru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60" w:right="0" w:firstLine="0"/>
        <w:jc w:val="left"/>
      </w:pPr>
      <w:r>
        <w:rPr>
          <w:rStyle w:val="CharStyle12"/>
          <w:b/>
          <w:bCs/>
        </w:rPr>
        <w:t>ФГБУ «Центр лабораторного анализа и технических измерений по ЮФО»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060" w:right="0" w:firstLine="0"/>
        <w:jc w:val="left"/>
      </w:pPr>
      <w:r>
        <w:rPr>
          <w:rStyle w:val="CharStyle12"/>
          <w:b/>
          <w:bCs/>
        </w:rPr>
        <w:t xml:space="preserve">(далее – Заказчик) </w:t>
      </w:r>
      <w:r>
        <w:rPr>
          <w:rStyle w:val="CharStyle12"/>
        </w:rPr>
        <w:t xml:space="preserve">ул. Малиновского, д. 26А, г. Ростов-на-Дону, 344091 </w:t>
      </w:r>
      <w:r>
        <w:fldChar w:fldCharType="begin"/>
      </w:r>
      <w:r>
        <w:rPr/>
        <w:instrText> HYPERLINK "mailto:ufo@clati.ru" </w:instrText>
      </w:r>
      <w:r>
        <w:fldChar w:fldCharType="separate"/>
      </w:r>
      <w:r>
        <w:rPr>
          <w:rStyle w:val="CharStyle12"/>
          <w:lang w:val="en-US" w:eastAsia="en-US"/>
        </w:rPr>
        <w:t>ufo@clati.ru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6380" w:right="0" w:firstLine="0"/>
        <w:jc w:val="left"/>
      </w:pPr>
      <w:r>
        <w:rPr>
          <w:rStyle w:val="CharStyle12"/>
          <w:b/>
          <w:bCs/>
        </w:rPr>
        <w:t xml:space="preserve">АО «Сбербанк-АСТ» (далее – Оператор электронной площадки)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2"/>
          <w:lang w:val="en-US" w:eastAsia="en-US"/>
        </w:rPr>
        <w:t>ko@sberbank-ast.ru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по результатам рассмотрения дела</w:t>
        <w:br/>
        <w:t>№061/06/105-1648/2026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251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2"/>
        </w:rPr>
        <w:t>18.05.2026</w:t>
        <w:tab/>
        <w:t>г. Ростов-на-Дону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2"/>
        </w:rPr>
        <w:t>Комиссия Управления Федеральной антимонопольной службы по Ростовской области (далее – Ростовское УФАС России, Комиссия) по контролю соблюдения законодательства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Председатель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w:rPr>
          <w:rStyle w:val="CharStyle12"/>
        </w:rPr>
        <w:t>рассмотрев дело №061/06/105-1648/2026 по жалобе ООО «НОРДВЕСТЛАБ» о нарушении Заказчиком при проведении электронного аукциона №0318100067226000085 «Поставка спектрометра атомно-эмиссионного с системой разложения проб для нужд ФГБУ "ЦЛАТИ по ЮФО"» (далее —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Закон), путем использования системы видео-конференц-связи (ВКС) в присутствии представителей Заявителя — Белак В.В. (доверенность №129 от 14.05.2026), Ивановой А.Г. (доверенность №129 от 14.05.2026), представителей Заказчика — Высоцкого С.И. (доверенность №110 от 15.05.2026),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9"/>
        </w:rPr>
        <w:t>1IIIIIIIIIIIIIIIIIIIIIII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2"/>
        </w:rPr>
        <w:t xml:space="preserve">Пелипенко Л.В. (доверенность </w:t>
      </w:r>
      <w:r>
        <w:rPr>
          <w:rStyle w:val="CharStyle12"/>
          <w:lang w:val="en-US" w:eastAsia="en-US"/>
        </w:rPr>
        <w:t xml:space="preserve">№111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15.05.2026),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Ростовское УФАС России поступила жалоба ООО «НОРДВЕСТЛАБ» на действия Заказчика при формировании положений извещения о проведении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 в возражениях на жалобу: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отрицал нарушения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>представил пояснения по доводам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ч.ч.1,3 ст.99 Закона, в ходе рассмотрения дела установлено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2"/>
          <w:color w:val="000080"/>
          <w:lang w:val="en-US" w:eastAsia="en-US"/>
        </w:rPr>
        <w:t xml:space="preserve"> </w:t>
      </w:r>
      <w:r>
        <w:rPr>
          <w:rStyle w:val="CharStyle12"/>
          <w:lang w:val="en-US" w:eastAsia="en-US"/>
        </w:rPr>
        <w:t xml:space="preserve">28.04.2026 </w:t>
      </w:r>
      <w:r>
        <w:rPr>
          <w:rStyle w:val="CharStyle12"/>
        </w:rPr>
        <w:t xml:space="preserve">в </w:t>
      </w:r>
      <w:r>
        <w:rPr>
          <w:rStyle w:val="CharStyle12"/>
          <w:lang w:val="en-US" w:eastAsia="en-US"/>
        </w:rPr>
        <w:t xml:space="preserve">09:44 </w:t>
      </w:r>
      <w:r>
        <w:rPr>
          <w:rStyle w:val="CharStyle12"/>
        </w:rPr>
        <w:t xml:space="preserve">размещено извещение о проведении закупки </w:t>
      </w:r>
      <w:r>
        <w:rPr>
          <w:rStyle w:val="CharStyle12"/>
          <w:lang w:val="en-US" w:eastAsia="en-US"/>
        </w:rPr>
        <w:t xml:space="preserve">№0318100067226000085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Извещение), </w:t>
      </w:r>
      <w:r>
        <w:rPr>
          <w:rStyle w:val="CharStyle12"/>
          <w:lang w:val="en-US" w:eastAsia="en-US"/>
        </w:rPr>
        <w:t xml:space="preserve">28.04.2026 </w:t>
      </w:r>
      <w:r>
        <w:rPr>
          <w:rStyle w:val="CharStyle12"/>
        </w:rPr>
        <w:t xml:space="preserve">в </w:t>
      </w:r>
      <w:r>
        <w:rPr>
          <w:rStyle w:val="CharStyle12"/>
          <w:lang w:val="en-US" w:eastAsia="en-US"/>
        </w:rPr>
        <w:t xml:space="preserve">11:31 </w:t>
      </w:r>
      <w:r>
        <w:rPr>
          <w:rStyle w:val="CharStyle12"/>
        </w:rPr>
        <w:t>в Извещение внесены изменения, согласно которым: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установлены дата и время окончания подачи заявок </w:t>
      </w:r>
      <w:r>
        <w:rPr>
          <w:rStyle w:val="CharStyle12"/>
          <w:lang w:val="en-US" w:eastAsia="en-US"/>
        </w:rPr>
        <w:t xml:space="preserve">– 12.05.2026 09:00 </w:t>
      </w:r>
      <w:r>
        <w:rPr>
          <w:rStyle w:val="CharStyle12"/>
        </w:rPr>
        <w:t>(МСК);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начальная (максимальная) цена контракта составила </w:t>
      </w:r>
      <w:r>
        <w:rPr>
          <w:rStyle w:val="CharStyle12"/>
          <w:lang w:val="en-US" w:eastAsia="en-US"/>
        </w:rPr>
        <w:t xml:space="preserve">11 000 000, 00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>Закупка осуществляется в рамках реализации национального проекта «Чистый воздух».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Заявитель полагает, что Заказчиком нарушены положения Закона, поскольку указаны избыточные требования к закупаемому товару, совокупности которых соответствует товар единственного производителя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ООО «Сибирские Аналитические Системы» (Спектрометры атомно-эмиссионные с индуктивно-связанной плазмой Прометей).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п.5 ч.1 ст.42 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п.1 ч.2 ст.42 Закона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ч.1 ст.33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>Из совокупного толкования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Описание объекта закупки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это фиксация заказчиком в извещении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своему назначению и предъявляемым требованиям. Такая фиксация требований заказчика позволяет идентифицировать объект закупки, установить результат, достижение которого признается со стороны заказчика должным исполнением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Комиссия Ростовского УФАС России отмечает, что действия заказчика, сформировавшего требования к конкретному товару, обращающемуся на соответствующем рынке, могут быть признаны нарушением антимонопольного законодательства и законодательства о контрактной системе лишь в случае, когда они привели к необоснованному ограничению конкуренции, созданию неоправданных барьеров хозяйствующим субъектам при реализации ими права на участие в конкурентных процедурах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Исходя из положений законодательства о контрактной системы в сфере закупок, ФАС России выработана правовая позиция, согласно которой объект закупки должен быть сформирован таким образом, чтобы совокупности характеристик товара соответствовало как минимум два производителя (Письмо от 19.04.2023г.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ПИ/30510/23, Письмо от </w:t>
      </w:r>
      <w:r>
        <w:rPr>
          <w:rStyle w:val="CharStyle12"/>
          <w:lang w:val="en-US" w:eastAsia="en-US"/>
        </w:rPr>
        <w:t>21.03.2025 № 28/26176/25).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Извещением установлено, что к поставке требуется товар «Спектрометр атомно</w:t>
        <w:softHyphen/>
        <w:t xml:space="preserve">эмиссионный с системой разложения проб», код ОКПД2 </w:t>
      </w:r>
      <w:r>
        <w:rPr>
          <w:rStyle w:val="CharStyle12"/>
          <w:lang w:val="en-US" w:eastAsia="en-US"/>
        </w:rPr>
        <w:t>26.51.53.190.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приложением к Извещению «Описание объекта закупки (Приложение </w:t>
      </w:r>
      <w:r>
        <w:rPr>
          <w:rStyle w:val="CharStyle12"/>
          <w:lang w:val="en-US" w:eastAsia="en-US"/>
        </w:rPr>
        <w:t xml:space="preserve">№1)», </w:t>
      </w:r>
      <w:r>
        <w:rPr>
          <w:rStyle w:val="CharStyle12"/>
        </w:rPr>
        <w:t>Заказчиком установлены следующие характеристики товара: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Фокусное расстояние </w:t>
      </w:r>
      <w:r>
        <w:rPr>
          <w:rStyle w:val="CharStyle12"/>
          <w:lang w:val="en-US" w:eastAsia="en-US"/>
        </w:rPr>
        <w:t xml:space="preserve">≥ 400 </w:t>
      </w:r>
      <w:r>
        <w:rPr>
          <w:rStyle w:val="CharStyle12"/>
        </w:rPr>
        <w:t>мм;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Термостатирование блока полихроматора при температуре </w:t>
      </w:r>
      <w:r>
        <w:rPr>
          <w:rStyle w:val="CharStyle12"/>
          <w:lang w:val="en-US" w:eastAsia="en-US"/>
        </w:rPr>
        <w:t xml:space="preserve">≥ 38 </w:t>
      </w:r>
      <w:r>
        <w:rPr>
          <w:rStyle w:val="CharStyle12"/>
        </w:rPr>
        <w:t>°С;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Охлаждение детектора Элементами Пельтье до температуры </w:t>
      </w:r>
      <w:r>
        <w:rPr>
          <w:rStyle w:val="CharStyle12"/>
          <w:lang w:val="en-US" w:eastAsia="en-US"/>
        </w:rPr>
        <w:t xml:space="preserve">≤ -35 </w:t>
      </w:r>
      <w:r>
        <w:rPr>
          <w:rStyle w:val="CharStyle12"/>
        </w:rPr>
        <w:t>°С.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Пределы обнаружения по критерию </w:t>
      </w:r>
      <w:r>
        <w:rPr>
          <w:rStyle w:val="CharStyle12"/>
          <w:lang w:val="en-US" w:eastAsia="en-US"/>
        </w:rPr>
        <w:t xml:space="preserve">3σ, </w:t>
      </w:r>
      <w:r>
        <w:rPr>
          <w:rStyle w:val="CharStyle12"/>
        </w:rPr>
        <w:t>подтвержденные описанием типа СИ;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Уровень защиты ПО от непреднамеренных и преднамеренных изменений соответствует уровню «высокий» по Р </w:t>
      </w:r>
      <w:r>
        <w:rPr>
          <w:rStyle w:val="CharStyle12"/>
          <w:lang w:val="en-US" w:eastAsia="en-US"/>
        </w:rPr>
        <w:t xml:space="preserve">50.2.077-2014 </w:t>
      </w:r>
      <w:r>
        <w:rPr>
          <w:rStyle w:val="CharStyle12"/>
        </w:rPr>
        <w:t>(подтвержденный описанием типа СИ).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По мнению Заявителя, Заказчику надлежит уменьшить, либо исключить предъявляемые значения к товарам, что не приведет к ухудшению характеристик спектрометра.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Представители Заказчика с доводами жалобы не согласились, пояснили, что описание объекта закупки сформировано в соответствии с положениями ст.33 Закона, Федерального закона от </w:t>
      </w:r>
      <w:r>
        <w:rPr>
          <w:rStyle w:val="CharStyle12"/>
          <w:lang w:val="en-US" w:eastAsia="en-US"/>
        </w:rPr>
        <w:t xml:space="preserve">26.06.2008 </w:t>
      </w:r>
      <w:r>
        <w:rPr>
          <w:rStyle w:val="CharStyle12"/>
        </w:rPr>
        <w:t xml:space="preserve">№102-ФЗ «Об обеспечении единства измерений», ФР.1.31.2010.06835 (М-8-08) «Методика выполнения измерений массовой концентрации металлов в промышленных выбросах в атмосферу и в воздухе рабочей зоны методом атомно-эмиссионной спектрометрии в индуктивно связанной плазме»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Методика).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Комиссией Ростовского УФАС России установлено, что оспариваемые Заявителем характеристики (значения характеристик) «Фокусное расстояние», «Термостатирование блока полихроматора при температуре </w:t>
      </w:r>
      <w:r>
        <w:rPr>
          <w:rStyle w:val="CharStyle12"/>
          <w:lang w:val="en-US" w:eastAsia="en-US"/>
        </w:rPr>
        <w:t xml:space="preserve">≥ </w:t>
      </w:r>
      <w:r>
        <w:rPr>
          <w:rStyle w:val="CharStyle12"/>
        </w:rPr>
        <w:t xml:space="preserve">38°С», «Охлаждение детектора Элементами Пельтье до температуры </w:t>
      </w:r>
      <w:r>
        <w:rPr>
          <w:rStyle w:val="CharStyle12"/>
          <w:lang w:val="en-US" w:eastAsia="en-US"/>
        </w:rPr>
        <w:t xml:space="preserve">≤ </w:t>
      </w:r>
      <w:r>
        <w:rPr>
          <w:rStyle w:val="CharStyle12"/>
        </w:rPr>
        <w:t xml:space="preserve">-35°С», «Пределы обнаружения по критерию </w:t>
      </w:r>
      <w:r>
        <w:rPr>
          <w:rStyle w:val="CharStyle12"/>
          <w:lang w:val="en-US" w:eastAsia="en-US"/>
        </w:rPr>
        <w:t xml:space="preserve">3σ», </w:t>
      </w:r>
      <w:r>
        <w:rPr>
          <w:rStyle w:val="CharStyle12"/>
        </w:rPr>
        <w:t>«Уровень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защиты ПО от непреднамеренных и преднамеренных изменений соответствует уровню «высокий» по Р </w:t>
      </w:r>
      <w:r>
        <w:rPr>
          <w:rStyle w:val="CharStyle12"/>
          <w:lang w:val="en-US" w:eastAsia="en-US"/>
        </w:rPr>
        <w:t xml:space="preserve">50.2.077-2014» </w:t>
      </w:r>
      <w:r>
        <w:rPr>
          <w:rStyle w:val="CharStyle12"/>
        </w:rPr>
        <w:t>соответствует Методике.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ч.2 ст.19 Закона, для целей настоящей статьи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 этом, антимонопольный орган </w:t>
      </w:r>
      <w:r>
        <w:rPr>
          <w:rStyle w:val="CharStyle12"/>
          <w:u w:val="single"/>
        </w:rPr>
        <w:t>не наделен полномочиями проверять потребность Заказчика для решения возложенных на него задач</w:t>
      </w:r>
      <w:r>
        <w:rPr>
          <w:rStyle w:val="CharStyle12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Аналогичная правовая позиция изложена в Постановлении Арбитражного суда Северо-Кавказского округа от </w:t>
      </w:r>
      <w:r>
        <w:rPr>
          <w:rStyle w:val="CharStyle12"/>
          <w:lang w:val="en-US" w:eastAsia="en-US"/>
        </w:rPr>
        <w:t xml:space="preserve">10.02.2021 </w:t>
      </w:r>
      <w:r>
        <w:rPr>
          <w:rStyle w:val="CharStyle12"/>
        </w:rPr>
        <w:t>№Ф08-12521/2020 по делу №А53-13738/2020.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На основании изложенного, Комиссией Ростовского УФАС России не приняты доводы Заявителя об отсутствии значимости тех или иных требований к товару, их избыточности, поскольку приведенные доводы не имеют под собой документального обоснования, носят предположительный, вероятностный характер и фактически является оспариванием потребности учреждения.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Уведомлением от </w:t>
      </w:r>
      <w:r>
        <w:rPr>
          <w:rStyle w:val="CharStyle12"/>
          <w:lang w:val="en-US" w:eastAsia="en-US"/>
        </w:rPr>
        <w:t xml:space="preserve">12.05.2026 </w:t>
      </w:r>
      <w:r>
        <w:rPr>
          <w:rStyle w:val="CharStyle12"/>
        </w:rPr>
        <w:t>(исх.№СБ/6939/26) у сторон запрошена следующая информация: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 Заказчика: письменное возражение по доводам жалобы, в котором в том числе указать: наименование (модель), как минимум 2 товаров различных производителей, отвечающих сформированному описанию объекта закупки (с указанием соответствия каждой характеристики исходя из официальной инструкции производителя товара), а также требованиям Постановления Правительства РФ от 23.12.2024 №1875 и положениям части 1.1. ст.33 Закона; - документы (информацию), на основании которых сформировано описание объекта закупки; - коммерческие предложения;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 Заявителя: анализ рынка, данные, свидетельствующие о несоответствии иных товаров определенной Заказчиком совокупности характеристик приобретаемого товара (с указанием соответствия либо несоответствия каждой характеристики исходя из официальной инструкции производителя товара).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Заявителем в обоснование позиции проведен анализ рынка и представлена сравнительная таблица о несоответствии сформированную описанию объекта закупки по оспариваемым характеристикам спектрометров иных производителей: АЭС-ИСП </w:t>
      </w:r>
      <w:r>
        <w:rPr>
          <w:rStyle w:val="CharStyle12"/>
          <w:lang w:val="en-US" w:eastAsia="en-US"/>
        </w:rPr>
        <w:t xml:space="preserve">Plasma </w:t>
      </w:r>
      <w:r>
        <w:rPr>
          <w:rStyle w:val="CharStyle12"/>
        </w:rPr>
        <w:t xml:space="preserve">3500, АЭС-ИСП </w:t>
      </w:r>
      <w:r>
        <w:rPr>
          <w:rStyle w:val="CharStyle12"/>
          <w:lang w:val="en-US" w:eastAsia="en-US"/>
        </w:rPr>
        <w:t xml:space="preserve">Agilent </w:t>
      </w:r>
      <w:r>
        <w:rPr>
          <w:rStyle w:val="CharStyle12"/>
        </w:rPr>
        <w:t xml:space="preserve">5800, Серия </w:t>
      </w:r>
      <w:r>
        <w:rPr>
          <w:rStyle w:val="CharStyle12"/>
          <w:lang w:val="en-US" w:eastAsia="en-US"/>
        </w:rPr>
        <w:t>Avio, EXPEC 6500D, EXPEC PlaAr AES V.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Заказчиком в материалы дела представлены документы (информация), подтверждающие соответствие не менее 2 (двух) товаров различных производителей сформированным в Извещении требованиям: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Спектрометры атомно-эмиссионные с индуктивно-связанной плазмой Прометей (ООО «Сибирские Аналитические Системы»);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Спектрометры эмиссионные с индуктивно-связанной плазмой </w:t>
      </w:r>
      <w:r>
        <w:rPr>
          <w:rStyle w:val="CharStyle12"/>
          <w:lang w:val="en-US" w:eastAsia="en-US"/>
        </w:rPr>
        <w:t xml:space="preserve">iCAP PRO (Plasma </w:t>
      </w:r>
      <w:r>
        <w:rPr>
          <w:rStyle w:val="CharStyle12"/>
        </w:rPr>
        <w:t xml:space="preserve">3500) («Фирма </w:t>
      </w:r>
      <w:r>
        <w:rPr>
          <w:rStyle w:val="CharStyle12"/>
          <w:lang w:val="en-US" w:eastAsia="en-US"/>
        </w:rPr>
        <w:t>NCS Testing Technolodgy Co., Ltd»).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Комиссией Ростовского УФАС России отмечено, что в представленной Заявителем сравнительной таблице характеристики (значения характеристик) спектрометра эмиссионного с индуктивно-связанной плазмой </w:t>
      </w:r>
      <w:r>
        <w:rPr>
          <w:rStyle w:val="CharStyle12"/>
          <w:lang w:val="en-US" w:eastAsia="en-US"/>
        </w:rPr>
        <w:t xml:space="preserve">iCAP PRO (Plasma </w:t>
      </w:r>
      <w:r>
        <w:rPr>
          <w:rStyle w:val="CharStyle12"/>
        </w:rPr>
        <w:t>3500), такие как «Фокусное расстояние», «Охлаждение детектора Элементами Пельтье до температуры ≤ -35 °С» признаны самим Заявителем соответствующими требованиям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По мнению Заявителя, спектрометр эмиссионный с индуктивно-связанной плазмой </w:t>
      </w:r>
      <w:r>
        <w:rPr>
          <w:rStyle w:val="CharStyle12"/>
          <w:lang w:val="en-US" w:eastAsia="en-US"/>
        </w:rPr>
        <w:t xml:space="preserve">iCAP PRO (Plasma 3500) </w:t>
      </w:r>
      <w:r>
        <w:rPr>
          <w:rStyle w:val="CharStyle12"/>
        </w:rPr>
        <w:t xml:space="preserve">не соответствует характеристике «Термостатирование блока полихроматора при температуре </w:t>
      </w:r>
      <w:r>
        <w:rPr>
          <w:rStyle w:val="CharStyle12"/>
          <w:lang w:val="en-US" w:eastAsia="en-US"/>
        </w:rPr>
        <w:t xml:space="preserve">≥ </w:t>
      </w:r>
      <w:r>
        <w:rPr>
          <w:rStyle w:val="CharStyle12"/>
        </w:rPr>
        <w:t xml:space="preserve">38°С». В обоснование позиции Заявителем представлена выдержка из сайта производителя, согласно которой термостатирование составляет </w:t>
      </w:r>
      <w:r>
        <w:rPr>
          <w:rStyle w:val="CharStyle12"/>
          <w:lang w:val="en-US" w:eastAsia="en-US"/>
        </w:rPr>
        <w:t xml:space="preserve">35 </w:t>
      </w:r>
      <w:r>
        <w:rPr>
          <w:rStyle w:val="CharStyle12"/>
        </w:rPr>
        <w:t xml:space="preserve">°С </w:t>
      </w:r>
      <w:r>
        <w:rPr>
          <w:rStyle w:val="CharStyle12"/>
          <w:lang w:val="en-US" w:eastAsia="en-US"/>
        </w:rPr>
        <w:t xml:space="preserve">± 0,1 </w:t>
      </w:r>
      <w:r>
        <w:rPr>
          <w:rStyle w:val="CharStyle12"/>
        </w:rPr>
        <w:t>°С.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Оценив представленную информацию, Комиссия Ростовского УФАС России приходит к выводу, что представленная Заявителем информация не может являться в рассматриваемом случае надлежащим доказательством, поскольку официальным источником характеристик товара в силу действующего законодательства является инструкция по применению, при этом, информация, размещенная на сайте производителя, относительно наличия товара с теми или иными техническими характеристиками может постоянно меняться и обновляться, в связи с чем, не позволяет однозначно определить соответствие или несоответствие продукции определенным требованиям и не является достаточным основанием для выводов о характеристиках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Иных доказательств Заявителем в материалы дела не представлено.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Приложением к Извещению «Описание объекта закупки (Приложение </w:t>
      </w:r>
      <w:r>
        <w:rPr>
          <w:rStyle w:val="CharStyle12"/>
          <w:lang w:val="en-US" w:eastAsia="en-US"/>
        </w:rPr>
        <w:t xml:space="preserve">№1)» </w:t>
      </w:r>
      <w:r>
        <w:rPr>
          <w:rStyle w:val="CharStyle12"/>
        </w:rPr>
        <w:t>Заказчиком установлены, в том числе следующие характеристики товара:</w:t>
      </w:r>
    </w:p>
    <w:tbl>
      <w:tblPr>
        <w:tblOverlap w:val="never"/>
        <w:jc w:val="center"/>
        <w:tblLayout w:type="fixed"/>
      </w:tblPr>
      <w:tblGrid>
        <w:gridCol w:w="7906"/>
        <w:gridCol w:w="2270"/>
      </w:tblGrid>
      <w:tr>
        <w:trPr>
          <w:trHeight w:val="739" w:hRule="exact"/>
        </w:trPr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Пределы обнаружения по критерию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3σ </w:t>
            </w:r>
            <w:r>
              <w:rPr>
                <w:rStyle w:val="CharStyle24"/>
                <w:sz w:val="24"/>
                <w:szCs w:val="24"/>
              </w:rPr>
              <w:t>(</w:t>
            </w:r>
            <w:r>
              <w:rPr>
                <w:rStyle w:val="CharStyle24"/>
                <w:sz w:val="24"/>
                <w:szCs w:val="24"/>
                <w:u w:val="single"/>
              </w:rPr>
              <w:t>подтвержденные описанием типа СИ</w:t>
            </w:r>
            <w:r>
              <w:rPr>
                <w:rStyle w:val="CharStyle24"/>
                <w:sz w:val="24"/>
                <w:szCs w:val="24"/>
              </w:rPr>
              <w:t xml:space="preserve">) в режиме аксиального обзора для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Cd </w:t>
            </w:r>
            <w:r>
              <w:rPr>
                <w:rStyle w:val="CharStyle24"/>
                <w:sz w:val="24"/>
                <w:szCs w:val="24"/>
              </w:rPr>
              <w:t>(лямбда=214,438 нм), мкг/дм3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≤ 0.5</w:t>
            </w:r>
          </w:p>
        </w:tc>
      </w:tr>
      <w:tr>
        <w:trPr>
          <w:trHeight w:val="71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Пределы обнаружения по критерию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3σ </w:t>
            </w:r>
            <w:r>
              <w:rPr>
                <w:rStyle w:val="CharStyle24"/>
                <w:sz w:val="24"/>
                <w:szCs w:val="24"/>
              </w:rPr>
              <w:t>(</w:t>
            </w:r>
            <w:r>
              <w:rPr>
                <w:rStyle w:val="CharStyle24"/>
                <w:sz w:val="24"/>
                <w:szCs w:val="24"/>
                <w:u w:val="single"/>
              </w:rPr>
              <w:t>подтвержденные описанием типа СИ</w:t>
            </w:r>
            <w:r>
              <w:rPr>
                <w:rStyle w:val="CharStyle24"/>
                <w:sz w:val="24"/>
                <w:szCs w:val="24"/>
              </w:rPr>
              <w:t xml:space="preserve">) в режиме аксиального обзора для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Mn </w:t>
            </w:r>
            <w:r>
              <w:rPr>
                <w:rStyle w:val="CharStyle24"/>
                <w:sz w:val="24"/>
                <w:szCs w:val="24"/>
              </w:rPr>
              <w:t xml:space="preserve">(лямбда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=257,610 </w:t>
            </w:r>
            <w:r>
              <w:rPr>
                <w:rStyle w:val="CharStyle24"/>
                <w:sz w:val="24"/>
                <w:szCs w:val="24"/>
              </w:rPr>
              <w:t>нм), мкг/дм3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≤ 0.3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Пределы обнаружения по критерию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3σ </w:t>
            </w:r>
            <w:r>
              <w:rPr>
                <w:rStyle w:val="CharStyle24"/>
                <w:sz w:val="24"/>
                <w:szCs w:val="24"/>
              </w:rPr>
              <w:t>(</w:t>
            </w:r>
            <w:r>
              <w:rPr>
                <w:rStyle w:val="CharStyle24"/>
                <w:sz w:val="24"/>
                <w:szCs w:val="24"/>
                <w:u w:val="single"/>
              </w:rPr>
              <w:t>подтвержденные описанием типа СИ</w:t>
            </w:r>
            <w:r>
              <w:rPr>
                <w:rStyle w:val="CharStyle24"/>
                <w:sz w:val="24"/>
                <w:szCs w:val="24"/>
              </w:rPr>
              <w:t xml:space="preserve">) в режиме аксиального обзора для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Cr ( </w:t>
            </w:r>
            <w:r>
              <w:rPr>
                <w:rStyle w:val="CharStyle24"/>
                <w:sz w:val="24"/>
                <w:szCs w:val="24"/>
              </w:rPr>
              <w:t xml:space="preserve">лямбда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=267,716 </w:t>
            </w:r>
            <w:r>
              <w:rPr>
                <w:rStyle w:val="CharStyle24"/>
                <w:sz w:val="24"/>
                <w:szCs w:val="24"/>
              </w:rPr>
              <w:t>нм), мкг/дм3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≤ 0.8</w:t>
            </w:r>
          </w:p>
        </w:tc>
      </w:tr>
      <w:tr>
        <w:trPr>
          <w:trHeight w:val="71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Пределы обнаружения по критерию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3σ </w:t>
            </w:r>
            <w:r>
              <w:rPr>
                <w:rStyle w:val="CharStyle24"/>
                <w:sz w:val="24"/>
                <w:szCs w:val="24"/>
              </w:rPr>
              <w:t>(</w:t>
            </w:r>
            <w:r>
              <w:rPr>
                <w:rStyle w:val="CharStyle24"/>
                <w:sz w:val="24"/>
                <w:szCs w:val="24"/>
                <w:u w:val="single"/>
              </w:rPr>
              <w:t>подтвержденные описанием типа СИ</w:t>
            </w:r>
            <w:r>
              <w:rPr>
                <w:rStyle w:val="CharStyle24"/>
                <w:sz w:val="24"/>
                <w:szCs w:val="24"/>
              </w:rPr>
              <w:t xml:space="preserve">) в режиме аксиального обзора для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Cu ( </w:t>
            </w:r>
            <w:r>
              <w:rPr>
                <w:rStyle w:val="CharStyle24"/>
                <w:sz w:val="24"/>
                <w:szCs w:val="24"/>
              </w:rPr>
              <w:t xml:space="preserve">лямбда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=324,754 </w:t>
            </w:r>
            <w:r>
              <w:rPr>
                <w:rStyle w:val="CharStyle24"/>
                <w:sz w:val="24"/>
                <w:szCs w:val="24"/>
              </w:rPr>
              <w:t>нм), мкг/дм3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≤ 1</w:t>
            </w:r>
          </w:p>
        </w:tc>
      </w:tr>
      <w:tr>
        <w:trPr>
          <w:trHeight w:val="71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Пределы обнаружения по критерию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3σ </w:t>
            </w:r>
            <w:r>
              <w:rPr>
                <w:rStyle w:val="CharStyle24"/>
                <w:sz w:val="24"/>
                <w:szCs w:val="24"/>
              </w:rPr>
              <w:t>(</w:t>
            </w:r>
            <w:r>
              <w:rPr>
                <w:rStyle w:val="CharStyle24"/>
                <w:sz w:val="24"/>
                <w:szCs w:val="24"/>
                <w:u w:val="single"/>
              </w:rPr>
              <w:t>подтвержденные описанием типа СИ</w:t>
            </w:r>
            <w:r>
              <w:rPr>
                <w:rStyle w:val="CharStyle24"/>
                <w:sz w:val="24"/>
                <w:szCs w:val="24"/>
              </w:rPr>
              <w:t xml:space="preserve">) в режиме аксиального обзора для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Ba </w:t>
            </w:r>
            <w:r>
              <w:rPr>
                <w:rStyle w:val="CharStyle24"/>
                <w:sz w:val="24"/>
                <w:szCs w:val="24"/>
              </w:rPr>
              <w:t xml:space="preserve">(лямбда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=455,403 </w:t>
            </w:r>
            <w:r>
              <w:rPr>
                <w:rStyle w:val="CharStyle24"/>
                <w:sz w:val="24"/>
                <w:szCs w:val="24"/>
              </w:rPr>
              <w:t>нм), мкг/дм3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≤ 0.2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Пределы обнаружения по критерию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3σ </w:t>
            </w:r>
            <w:r>
              <w:rPr>
                <w:rStyle w:val="CharStyle24"/>
                <w:sz w:val="24"/>
                <w:szCs w:val="24"/>
              </w:rPr>
              <w:t>(</w:t>
            </w:r>
            <w:r>
              <w:rPr>
                <w:rStyle w:val="CharStyle24"/>
                <w:sz w:val="24"/>
                <w:szCs w:val="24"/>
                <w:u w:val="single"/>
              </w:rPr>
              <w:t>подтвержденные описанием типа СИ</w:t>
            </w:r>
            <w:r>
              <w:rPr>
                <w:rStyle w:val="CharStyle24"/>
                <w:sz w:val="24"/>
                <w:szCs w:val="24"/>
              </w:rPr>
              <w:t xml:space="preserve">) в режиме радиального обзора для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Cd ( </w:t>
            </w:r>
            <w:r>
              <w:rPr>
                <w:rStyle w:val="CharStyle24"/>
                <w:sz w:val="24"/>
                <w:szCs w:val="24"/>
              </w:rPr>
              <w:t xml:space="preserve">лямбда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=214,438 </w:t>
            </w:r>
            <w:r>
              <w:rPr>
                <w:rStyle w:val="CharStyle24"/>
                <w:sz w:val="24"/>
                <w:szCs w:val="24"/>
              </w:rPr>
              <w:t>нм), мкг/дм3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≤ 1.8</w:t>
            </w:r>
          </w:p>
        </w:tc>
      </w:tr>
      <w:tr>
        <w:trPr>
          <w:trHeight w:val="71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Пределы обнаружения по критерию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3σ </w:t>
            </w:r>
            <w:r>
              <w:rPr>
                <w:rStyle w:val="CharStyle24"/>
                <w:sz w:val="24"/>
                <w:szCs w:val="24"/>
              </w:rPr>
              <w:t>(</w:t>
            </w:r>
            <w:r>
              <w:rPr>
                <w:rStyle w:val="CharStyle24"/>
                <w:sz w:val="24"/>
                <w:szCs w:val="24"/>
                <w:u w:val="single"/>
              </w:rPr>
              <w:t>подтвержденные описанием типа СИ</w:t>
            </w:r>
            <w:r>
              <w:rPr>
                <w:rStyle w:val="CharStyle24"/>
                <w:sz w:val="24"/>
                <w:szCs w:val="24"/>
              </w:rPr>
              <w:t xml:space="preserve">) в режиме радиального обзора для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Mn </w:t>
            </w:r>
            <w:r>
              <w:rPr>
                <w:rStyle w:val="CharStyle24"/>
                <w:sz w:val="24"/>
                <w:szCs w:val="24"/>
              </w:rPr>
              <w:t xml:space="preserve">(лямбда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=257,610 </w:t>
            </w:r>
            <w:r>
              <w:rPr>
                <w:rStyle w:val="CharStyle24"/>
                <w:sz w:val="24"/>
                <w:szCs w:val="24"/>
              </w:rPr>
              <w:t>нм), мкг/дм3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≤ 0.8</w:t>
            </w:r>
          </w:p>
        </w:tc>
      </w:tr>
      <w:tr>
        <w:trPr>
          <w:trHeight w:val="71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Пределы обнаружения по критерию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3σ </w:t>
            </w:r>
            <w:r>
              <w:rPr>
                <w:rStyle w:val="CharStyle24"/>
                <w:sz w:val="24"/>
                <w:szCs w:val="24"/>
              </w:rPr>
              <w:t>(</w:t>
            </w:r>
            <w:r>
              <w:rPr>
                <w:rStyle w:val="CharStyle24"/>
                <w:sz w:val="24"/>
                <w:szCs w:val="24"/>
                <w:u w:val="single"/>
              </w:rPr>
              <w:t>подтвержденные описанием типа СИ</w:t>
            </w:r>
            <w:r>
              <w:rPr>
                <w:rStyle w:val="CharStyle24"/>
                <w:sz w:val="24"/>
                <w:szCs w:val="24"/>
              </w:rPr>
              <w:t xml:space="preserve"> в режиме радиального обзора для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Cr </w:t>
            </w:r>
            <w:r>
              <w:rPr>
                <w:rStyle w:val="CharStyle24"/>
                <w:sz w:val="24"/>
                <w:szCs w:val="24"/>
              </w:rPr>
              <w:t xml:space="preserve">(лямбда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=267,716 </w:t>
            </w:r>
            <w:r>
              <w:rPr>
                <w:rStyle w:val="CharStyle24"/>
                <w:sz w:val="24"/>
                <w:szCs w:val="24"/>
              </w:rPr>
              <w:t>нм), мкг/дм3)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≤ 3</w:t>
            </w:r>
          </w:p>
        </w:tc>
      </w:tr>
      <w:tr>
        <w:trPr>
          <w:trHeight w:val="72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Пределы обнаружения по критерию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3σ </w:t>
            </w:r>
            <w:r>
              <w:rPr>
                <w:rStyle w:val="CharStyle24"/>
                <w:sz w:val="24"/>
                <w:szCs w:val="24"/>
              </w:rPr>
              <w:t>(</w:t>
            </w:r>
            <w:r>
              <w:rPr>
                <w:rStyle w:val="CharStyle24"/>
                <w:sz w:val="24"/>
                <w:szCs w:val="24"/>
                <w:u w:val="single"/>
              </w:rPr>
              <w:t>подтвержденные описанием типа СИ</w:t>
            </w:r>
            <w:r>
              <w:rPr>
                <w:rStyle w:val="CharStyle24"/>
                <w:sz w:val="24"/>
                <w:szCs w:val="24"/>
              </w:rPr>
              <w:t xml:space="preserve">) в режиме радиального обзора для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Cu ( </w:t>
            </w:r>
            <w:r>
              <w:rPr>
                <w:rStyle w:val="CharStyle24"/>
                <w:sz w:val="24"/>
                <w:szCs w:val="24"/>
              </w:rPr>
              <w:t xml:space="preserve">лямбда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=324,754 </w:t>
            </w:r>
            <w:r>
              <w:rPr>
                <w:rStyle w:val="CharStyle24"/>
                <w:sz w:val="24"/>
                <w:szCs w:val="24"/>
              </w:rPr>
              <w:t>нм), мкг/дм3)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≤ 3.4</w:t>
            </w:r>
          </w:p>
        </w:tc>
      </w:tr>
      <w:tr>
        <w:trPr>
          <w:trHeight w:val="72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 xml:space="preserve">Пределы обнаружения по критерию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3σ </w:t>
            </w:r>
            <w:r>
              <w:rPr>
                <w:rStyle w:val="CharStyle24"/>
                <w:sz w:val="24"/>
                <w:szCs w:val="24"/>
              </w:rPr>
              <w:t>(</w:t>
            </w:r>
            <w:r>
              <w:rPr>
                <w:rStyle w:val="CharStyle24"/>
                <w:sz w:val="24"/>
                <w:szCs w:val="24"/>
                <w:u w:val="single"/>
              </w:rPr>
              <w:t>подтвержденные описанием типа СИ</w:t>
            </w:r>
            <w:r>
              <w:rPr>
                <w:rStyle w:val="CharStyle24"/>
                <w:sz w:val="24"/>
                <w:szCs w:val="24"/>
              </w:rPr>
              <w:t xml:space="preserve">) в режиме радиального обзора для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Ba </w:t>
            </w:r>
            <w:r>
              <w:rPr>
                <w:rStyle w:val="CharStyle24"/>
                <w:sz w:val="24"/>
                <w:szCs w:val="24"/>
              </w:rPr>
              <w:t xml:space="preserve">(лямбда </w:t>
            </w:r>
            <w:r>
              <w:rPr>
                <w:rStyle w:val="CharStyle24"/>
                <w:sz w:val="24"/>
                <w:szCs w:val="24"/>
                <w:lang w:val="en-US" w:eastAsia="en-US"/>
              </w:rPr>
              <w:t xml:space="preserve">=455,403 </w:t>
            </w:r>
            <w:r>
              <w:rPr>
                <w:rStyle w:val="CharStyle24"/>
                <w:sz w:val="24"/>
                <w:szCs w:val="24"/>
              </w:rPr>
              <w:t>нм), мкг/дм3)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  <w:lang w:val="en-US" w:eastAsia="en-US"/>
              </w:rPr>
              <w:t>≤ 0.5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Заявитель полагает, что данным характеристикам соответствует исключительно товар производителя ООО «Сибирские Аналитические Системы».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Комиссия Ростовского УФАС России, обозрев описание типа средств измерений </w:t>
      </w:r>
      <w:r>
        <w:rPr>
          <w:rStyle w:val="CharStyle12"/>
          <w:lang w:val="en-US" w:eastAsia="en-US"/>
        </w:rPr>
        <w:t xml:space="preserve">№88175-23 </w:t>
      </w:r>
      <w:r>
        <w:rPr>
          <w:rStyle w:val="CharStyle12"/>
        </w:rPr>
        <w:t xml:space="preserve">на спектрометры эмиссионные с индуктивно-связанной плазмой </w:t>
      </w:r>
      <w:r>
        <w:rPr>
          <w:rStyle w:val="CharStyle12"/>
          <w:lang w:val="en-US" w:eastAsia="en-US"/>
        </w:rPr>
        <w:t>iCAP PRO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lang w:val="en-US" w:eastAsia="en-US"/>
        </w:rPr>
        <w:t xml:space="preserve">(Plasma 3500), </w:t>
      </w:r>
      <w:r>
        <w:rPr>
          <w:rStyle w:val="CharStyle12"/>
        </w:rPr>
        <w:t xml:space="preserve">размещенное на официальном сайте </w:t>
      </w:r>
      <w:r>
        <w:fldChar w:fldCharType="begin"/>
      </w:r>
      <w:r>
        <w:rPr/>
        <w:instrText> HYPERLINK "https://fgis.gost.ru/fundmetrology/cm/mits" </w:instrText>
      </w:r>
      <w:r>
        <w:fldChar w:fldCharType="separate"/>
      </w:r>
      <w:r>
        <w:rPr>
          <w:rStyle w:val="CharStyle12"/>
          <w:color w:val="000080"/>
          <w:sz w:val="24"/>
          <w:szCs w:val="24"/>
          <w:u w:val="single"/>
          <w:lang w:val="en-US" w:eastAsia="en-US"/>
        </w:rPr>
        <w:t>https://fgis.gost.ru/fundmetrology/cm/mits</w:t>
      </w:r>
      <w:r>
        <w:fldChar w:fldCharType="end"/>
      </w:r>
      <w:r>
        <w:rPr>
          <w:rStyle w:val="CharStyle12"/>
          <w:lang w:val="en-US" w:eastAsia="en-US"/>
        </w:rPr>
        <w:t xml:space="preserve">) </w:t>
      </w:r>
      <w:r>
        <w:rPr>
          <w:rStyle w:val="CharStyle12"/>
        </w:rPr>
        <w:t xml:space="preserve">установила, что пределы обнаружения по критерию </w:t>
      </w:r>
      <w:r>
        <w:rPr>
          <w:rStyle w:val="CharStyle12"/>
          <w:lang w:val="en-US" w:eastAsia="en-US"/>
        </w:rPr>
        <w:t xml:space="preserve">3σ </w:t>
      </w:r>
      <w:r>
        <w:rPr>
          <w:rStyle w:val="CharStyle12"/>
        </w:rPr>
        <w:t xml:space="preserve">для </w:t>
      </w:r>
      <w:r>
        <w:rPr>
          <w:rStyle w:val="CharStyle12"/>
          <w:lang w:val="en-US" w:eastAsia="en-US"/>
        </w:rPr>
        <w:t xml:space="preserve">Cd </w:t>
      </w:r>
      <w:r>
        <w:rPr>
          <w:rStyle w:val="CharStyle12"/>
        </w:rPr>
        <w:t xml:space="preserve">(в режиме аксиального обзора), </w:t>
      </w:r>
      <w:r>
        <w:rPr>
          <w:rStyle w:val="CharStyle12"/>
          <w:lang w:val="en-US" w:eastAsia="en-US"/>
        </w:rPr>
        <w:t xml:space="preserve">Cr </w:t>
      </w:r>
      <w:r>
        <w:rPr>
          <w:rStyle w:val="CharStyle12"/>
        </w:rPr>
        <w:t xml:space="preserve">(в режиме аксиального обзора), </w:t>
      </w:r>
      <w:r>
        <w:rPr>
          <w:rStyle w:val="CharStyle12"/>
          <w:lang w:val="en-US" w:eastAsia="en-US"/>
        </w:rPr>
        <w:t xml:space="preserve">Cu </w:t>
      </w:r>
      <w:r>
        <w:rPr>
          <w:rStyle w:val="CharStyle12"/>
        </w:rPr>
        <w:t xml:space="preserve">(в режиме аксиального обзора), </w:t>
      </w:r>
      <w:r>
        <w:rPr>
          <w:rStyle w:val="CharStyle12"/>
          <w:lang w:val="en-US" w:eastAsia="en-US"/>
        </w:rPr>
        <w:t xml:space="preserve">Cd </w:t>
      </w:r>
      <w:r>
        <w:rPr>
          <w:rStyle w:val="CharStyle12"/>
        </w:rPr>
        <w:t>(в режиме радиального обзора) отсутствуют в описании типа средств измерений, и, соответственно, требуемые в Извещении значения не подтверждены описанием типа средств измерений.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Аналогично пределы обнаружения по критерию </w:t>
      </w:r>
      <w:r>
        <w:rPr>
          <w:rStyle w:val="CharStyle12"/>
          <w:lang w:val="en-US" w:eastAsia="en-US"/>
        </w:rPr>
        <w:t xml:space="preserve">3σ </w:t>
      </w:r>
      <w:r>
        <w:rPr>
          <w:rStyle w:val="CharStyle12"/>
        </w:rPr>
        <w:t xml:space="preserve">для </w:t>
      </w:r>
      <w:r>
        <w:rPr>
          <w:rStyle w:val="CharStyle12"/>
          <w:lang w:val="en-US" w:eastAsia="en-US"/>
        </w:rPr>
        <w:t xml:space="preserve">Mn </w:t>
      </w:r>
      <w:r>
        <w:rPr>
          <w:rStyle w:val="CharStyle12"/>
        </w:rPr>
        <w:t xml:space="preserve">составляют </w:t>
      </w:r>
      <w:r>
        <w:rPr>
          <w:rStyle w:val="CharStyle12"/>
          <w:lang w:val="en-US" w:eastAsia="en-US"/>
        </w:rPr>
        <w:t xml:space="preserve">0,4 </w:t>
      </w:r>
      <w:r>
        <w:rPr>
          <w:rStyle w:val="CharStyle12"/>
        </w:rPr>
        <w:t xml:space="preserve">мкг/дм3, по критерию </w:t>
      </w:r>
      <w:r>
        <w:rPr>
          <w:rStyle w:val="CharStyle12"/>
          <w:lang w:val="en-US" w:eastAsia="en-US"/>
        </w:rPr>
        <w:t xml:space="preserve">3σ </w:t>
      </w:r>
      <w:r>
        <w:rPr>
          <w:rStyle w:val="CharStyle12"/>
        </w:rPr>
        <w:t xml:space="preserve">для </w:t>
      </w:r>
      <w:r>
        <w:rPr>
          <w:rStyle w:val="CharStyle12"/>
          <w:lang w:val="en-US" w:eastAsia="en-US"/>
        </w:rPr>
        <w:t xml:space="preserve">Ba </w:t>
      </w:r>
      <w:r>
        <w:rPr>
          <w:rStyle w:val="CharStyle12"/>
        </w:rPr>
        <w:t xml:space="preserve">(в режиме аксиального обзора) составляют </w:t>
      </w:r>
      <w:r>
        <w:rPr>
          <w:rStyle w:val="CharStyle12"/>
          <w:lang w:val="en-US" w:eastAsia="en-US"/>
        </w:rPr>
        <w:t xml:space="preserve">0,4 </w:t>
      </w:r>
      <w:r>
        <w:rPr>
          <w:rStyle w:val="CharStyle12"/>
        </w:rPr>
        <w:t xml:space="preserve">мкг/дм3, по критерию </w:t>
      </w:r>
      <w:r>
        <w:rPr>
          <w:rStyle w:val="CharStyle12"/>
          <w:lang w:val="en-US" w:eastAsia="en-US"/>
        </w:rPr>
        <w:t xml:space="preserve">3σ </w:t>
      </w:r>
      <w:r>
        <w:rPr>
          <w:rStyle w:val="CharStyle12"/>
        </w:rPr>
        <w:t xml:space="preserve">для </w:t>
      </w:r>
      <w:r>
        <w:rPr>
          <w:rStyle w:val="CharStyle12"/>
          <w:lang w:val="en-US" w:eastAsia="en-US"/>
        </w:rPr>
        <w:t xml:space="preserve">Mn </w:t>
      </w:r>
      <w:r>
        <w:rPr>
          <w:rStyle w:val="CharStyle12"/>
        </w:rPr>
        <w:t xml:space="preserve">составляют </w:t>
      </w:r>
      <w:r>
        <w:rPr>
          <w:rStyle w:val="CharStyle12"/>
          <w:lang w:val="en-US" w:eastAsia="en-US"/>
        </w:rPr>
        <w:t xml:space="preserve">2,0 </w:t>
      </w:r>
      <w:r>
        <w:rPr>
          <w:rStyle w:val="CharStyle12"/>
        </w:rPr>
        <w:t xml:space="preserve">мкг/дм3, для </w:t>
      </w:r>
      <w:r>
        <w:rPr>
          <w:rStyle w:val="CharStyle12"/>
          <w:lang w:val="en-US" w:eastAsia="en-US"/>
        </w:rPr>
        <w:t xml:space="preserve">Ba </w:t>
      </w:r>
      <w:r>
        <w:rPr>
          <w:rStyle w:val="CharStyle12"/>
        </w:rPr>
        <w:t xml:space="preserve">(в режиме радиального обзора) </w:t>
      </w:r>
      <w:r>
        <w:rPr>
          <w:rStyle w:val="CharStyle12"/>
          <w:lang w:val="en-US" w:eastAsia="en-US"/>
        </w:rPr>
        <w:t xml:space="preserve">— 2,0 </w:t>
      </w:r>
      <w:r>
        <w:rPr>
          <w:rStyle w:val="CharStyle12"/>
        </w:rPr>
        <w:t xml:space="preserve">мкг/дм3, что не соответствует требованиям Извещения </w:t>
      </w:r>
      <w:r>
        <w:rPr>
          <w:rStyle w:val="CharStyle12"/>
          <w:lang w:val="en-US" w:eastAsia="en-US"/>
        </w:rPr>
        <w:t xml:space="preserve">(≤ 0.3 </w:t>
      </w:r>
      <w:r>
        <w:rPr>
          <w:rStyle w:val="CharStyle12"/>
        </w:rPr>
        <w:t xml:space="preserve">мкг/дм3, </w:t>
      </w:r>
      <w:r>
        <w:rPr>
          <w:rStyle w:val="CharStyle12"/>
          <w:lang w:val="en-US" w:eastAsia="en-US"/>
        </w:rPr>
        <w:t xml:space="preserve">≤ 0.2 </w:t>
      </w:r>
      <w:r>
        <w:rPr>
          <w:rStyle w:val="CharStyle12"/>
        </w:rPr>
        <w:t xml:space="preserve">мкг/дм3, </w:t>
      </w:r>
      <w:r>
        <w:rPr>
          <w:rStyle w:val="CharStyle12"/>
          <w:lang w:val="en-US" w:eastAsia="en-US"/>
        </w:rPr>
        <w:t xml:space="preserve">≤ 0.8 </w:t>
      </w:r>
      <w:r>
        <w:rPr>
          <w:rStyle w:val="CharStyle12"/>
        </w:rPr>
        <w:t xml:space="preserve">мкг/дм, </w:t>
      </w:r>
      <w:r>
        <w:rPr>
          <w:rStyle w:val="CharStyle12"/>
          <w:lang w:val="en-US" w:eastAsia="en-US"/>
        </w:rPr>
        <w:t xml:space="preserve">≤ 0.5 </w:t>
      </w:r>
      <w:r>
        <w:rPr>
          <w:rStyle w:val="CharStyle12"/>
        </w:rPr>
        <w:t>мкг/дм3).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Таким образом, Заказчиком не представлены документы и сведения, подтверждающие наличие вышеуказанной информации, в описании типа средств измерений на спектрометр, кроме ООО «Сибирские Аналитические Системы».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ходе заседания Комиссии Ростовского УФАС России представитель Заказчика согласился с доводом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Следовательно, довод жалобы о соответствии совокупности характеристик товару единственного производителя признан обоснованным, Заказчик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нарушившим ч.2 ст.42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рамках проведения в соответствии с ч.15 ст.99 Закона внеплановой проверки Комиссией Ростовского УФАС России установлено следующее.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п.п.16,17 ч.1 ст.42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размер и порядок внесения денежных средств в качестве обеспечения заявки на участие в закупке, условия независимой гарантии (если требование обеспечения заявки установлено в соответствии со статьей </w:t>
      </w:r>
      <w:r>
        <w:rPr>
          <w:rStyle w:val="CharStyle12"/>
          <w:lang w:val="en-US" w:eastAsia="en-US"/>
        </w:rPr>
        <w:t xml:space="preserve">44 </w:t>
      </w:r>
      <w:r>
        <w:rPr>
          <w:rStyle w:val="CharStyle12"/>
        </w:rPr>
        <w:t xml:space="preserve">настоящего Федерального закона), реквизиты счета, на котором в соответствии с законодательством Российской Федерации учитываются операции со средствами, поступающими заказчику, реквизиты счета для перечисления денежных средств в случае, предусмотренном частью </w:t>
      </w:r>
      <w:r>
        <w:rPr>
          <w:rStyle w:val="CharStyle12"/>
          <w:lang w:val="en-US" w:eastAsia="en-US"/>
        </w:rPr>
        <w:t xml:space="preserve">13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44 </w:t>
      </w:r>
      <w:r>
        <w:rPr>
          <w:rStyle w:val="CharStyle12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</w:t>
      </w:r>
      <w:r>
        <w:rPr>
          <w:rStyle w:val="CharStyle12"/>
          <w:lang w:val="en-US" w:eastAsia="en-US"/>
        </w:rPr>
        <w:t xml:space="preserve">96 </w:t>
      </w:r>
      <w:r>
        <w:rPr>
          <w:rStyle w:val="CharStyle12"/>
        </w:rPr>
        <w:t>настоящего Федерального закона).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Установлено, что электронная версия Извещения не содержит информацию о реквизитах счета, на котором в соответствии с законодательством Российской Федерации учитываются операции со средствами, поступающими заказчику (Раздел "Платежные реквизиты", "Реквизиты счета для учета операций со средствами, поступающими заказчику"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"Номер расчетного счета" </w:t>
      </w:r>
      <w:r>
        <w:rPr>
          <w:rStyle w:val="CharStyle12"/>
          <w:lang w:val="en-US" w:eastAsia="en-US"/>
        </w:rPr>
        <w:t>00000000000000000000).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Указание такой информации в приложенных документах не исключает обязанности Заказчика по ее отражению в Извещении, что прямо предусмотрено вышеуказанной нормой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таких обстоятельствах, в действиях Заказчика установлено нарушение ч.1 ст.42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Закона.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п.1 ч.1 ст.33 Закона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  <w:lang w:val="en-US" w:eastAsia="en-US"/>
        </w:rPr>
        <w:t xml:space="preserve">1) </w:t>
      </w:r>
      <w:r>
        <w:rPr>
          <w:rStyle w:val="CharStyle12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ч.2 ст.33 Закона описание объекта закупки в соответствии с требованиями, указанными в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Заказчиком в описании объекта закупки установлены следующие характеристики к товарам </w:t>
      </w:r>
      <w:r>
        <w:rPr>
          <w:rStyle w:val="CharStyle12"/>
          <w:i/>
          <w:iCs/>
        </w:rPr>
        <w:t>(выборочно из описания объекта закупки, перечень не является исчерпывающим)</w:t>
      </w:r>
      <w:r>
        <w:rPr>
          <w:rStyle w:val="CharStyle12"/>
        </w:rPr>
        <w:t>:</w:t>
      </w:r>
    </w:p>
    <w:tbl>
      <w:tblPr>
        <w:tblOverlap w:val="never"/>
        <w:jc w:val="center"/>
        <w:tblLayout w:type="fixed"/>
      </w:tblPr>
      <w:tblGrid>
        <w:gridCol w:w="6878"/>
        <w:gridCol w:w="3298"/>
      </w:tblGrid>
      <w:tr>
        <w:trPr>
          <w:trHeight w:val="461" w:hRule="exact"/>
        </w:trPr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Инструкция с иллюстрациями окон на русском языке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Наличие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Инструкция по эксплуатации прибора на русском языке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Наличие</w:t>
            </w:r>
          </w:p>
        </w:tc>
      </w:tr>
      <w:tr>
        <w:trPr>
          <w:trHeight w:val="44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Свидетельство о первичной поверке (после пуско-наладки)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наличие</w:t>
            </w:r>
          </w:p>
        </w:tc>
      </w:tr>
      <w:tr>
        <w:trPr>
          <w:trHeight w:val="45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Комплект документации на русском языке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4"/>
                <w:sz w:val="24"/>
                <w:szCs w:val="24"/>
              </w:rPr>
              <w:t>наличие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этом изложенные в описании объекта закупки требования к товарам не являются функциональными, техническими и качественными характеристиками товаров, а являются подтверждением их качества и соответствия установленным требованиям и определяют условия поставки товаров, на которые участник закупки соглашается при подаче заявки.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>На основании изложенного, при описании объекта закупки Заказчик нарушил ч.2 ст.42 Закона.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ч.5 ст.42 Закона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Единой информационной системе в сфере закупок Заказчиком размещено разъяснение положений извещения об осуществлении закупки от </w:t>
      </w:r>
      <w:r>
        <w:rPr>
          <w:rStyle w:val="CharStyle12"/>
          <w:lang w:val="en-US" w:eastAsia="en-US"/>
        </w:rPr>
        <w:t xml:space="preserve">12.05.2026 </w:t>
      </w:r>
      <w:r>
        <w:rPr>
          <w:rStyle w:val="CharStyle12"/>
        </w:rPr>
        <w:t>№РИ3.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>Комиссией Ростовского УФАС России установлено, что в указанном ответе на запрос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разъяснений положений извещения содержится исключительно разъяснение положений извещения об осуществлении закупки, предмет запроса не указан, что является нарушением ч.5 ст.42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Постановления Правительства РФ от 26.08.2013г. </w:t>
      </w:r>
      <w:r>
        <w:rPr>
          <w:rStyle w:val="CharStyle12"/>
          <w:lang w:val="en-US" w:eastAsia="en-US"/>
        </w:rPr>
        <w:t xml:space="preserve">№728, </w:t>
      </w:r>
      <w:r>
        <w:rPr>
          <w:rStyle w:val="CharStyle12"/>
        </w:rPr>
        <w:t>в соответствии с ч.15 ст.99, ч.8 ст.106 Закона,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77" w:val="left"/>
        </w:tabs>
        <w:bidi w:val="0"/>
        <w:spacing w:before="0" w:after="0" w:line="240" w:lineRule="auto"/>
        <w:ind w:left="0" w:right="0" w:firstLine="480"/>
        <w:jc w:val="left"/>
      </w:pPr>
      <w:r>
        <w:rPr>
          <w:rStyle w:val="CharStyle12"/>
        </w:rPr>
        <w:t>Признать жалобу ООО «НОРДВЕСТЛАБ» частично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72" w:val="left"/>
        </w:tabs>
        <w:bidi w:val="0"/>
        <w:spacing w:before="0" w:after="0" w:line="240" w:lineRule="auto"/>
        <w:ind w:left="0" w:right="0" w:firstLine="480"/>
        <w:jc w:val="left"/>
      </w:pPr>
      <w:r>
        <w:rPr>
          <w:rStyle w:val="CharStyle12"/>
        </w:rPr>
        <w:t>Признать Заказчика нарушившим ч.ч.1,2,5 ст.42 Закона.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3" w:val="left"/>
        </w:tabs>
        <w:bidi w:val="0"/>
        <w:spacing w:before="0" w:after="0" w:line="240" w:lineRule="auto"/>
        <w:ind w:left="0" w:right="0" w:firstLine="480"/>
        <w:jc w:val="both"/>
      </w:pPr>
      <w:r>
        <w:rPr>
          <w:rStyle w:val="CharStyle12"/>
        </w:rPr>
        <w:t>Выдать обязательное для исполнения предписание об отмене всех сформированных протоколов, внесении изменений в извещение согласно нормам Закона и с учетом настоящего решения.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3" w:val="left"/>
        </w:tabs>
        <w:bidi w:val="0"/>
        <w:spacing w:before="0" w:after="260" w:line="240" w:lineRule="auto"/>
        <w:ind w:left="0" w:right="0" w:firstLine="480"/>
        <w:jc w:val="both"/>
      </w:pPr>
      <w:r>
        <w:rPr>
          <w:rStyle w:val="CharStyle12"/>
        </w:rPr>
        <w:t>Рассмотреть вопрос о привлечении виновного должностного лица Заказчика к административной ответственности.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rStyle w:val="CharStyle30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Председатель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0"/>
        <w:jc w:val="right"/>
      </w:pPr>
      <w:r>
        <w:rPr>
          <w:rStyle w:val="CharStyle12"/>
        </w:rPr>
        <w:t>С.В. Батурин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9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25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9"/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09999999999999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В.Д. Кириленко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Кириленко Вероника Дмитриевна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2"/>
        </w:rPr>
        <w:t xml:space="preserve">Сертификат </w:t>
      </w:r>
      <w:r>
        <w:rPr>
          <w:rStyle w:val="CharStyle32"/>
          <w:color w:val="292929"/>
        </w:rPr>
        <w:t xml:space="preserve">№ </w:t>
      </w:r>
      <w:r>
        <w:rPr>
          <w:rStyle w:val="CharStyle32"/>
          <w:lang w:val="en-US" w:eastAsia="en-US"/>
        </w:rPr>
        <w:t>00864D0A03EBFDFD285B3099D538409B42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both"/>
      </w:pPr>
      <w:r>
        <w:rPr>
          <w:rStyle w:val="CharStyle32"/>
        </w:rPr>
        <w:t xml:space="preserve">Действителен с 06.02.2026 </w:t>
      </w:r>
      <w:r>
        <w:rPr>
          <w:rStyle w:val="CharStyle32"/>
          <w:color w:val="575757"/>
        </w:rPr>
        <w:t>по 02.05.2027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0" w:right="0" w:firstLine="0"/>
        <w:jc w:val="center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2654300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9999999999999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Вертий</w:t>
      </w:r>
    </w:p>
    <w:p>
      <w:pPr>
        <w:pStyle w:val="Style3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7"/>
          <w:b/>
          <w:bCs/>
          <w:color w:val="FFFFFF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Вертий Анастасия Андреевна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2"/>
        </w:rPr>
        <w:t xml:space="preserve">Сертификат </w:t>
      </w:r>
      <w:r>
        <w:rPr>
          <w:rStyle w:val="CharStyle32"/>
          <w:color w:val="292929"/>
        </w:rPr>
        <w:t xml:space="preserve">№ </w:t>
      </w:r>
      <w:r>
        <w:rPr>
          <w:rStyle w:val="CharStyle32"/>
          <w:lang w:val="en-US" w:eastAsia="en-US"/>
        </w:rPr>
        <w:t>00D4D4F1DFE717296C58BFB6A386492D7A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400" w:line="240" w:lineRule="auto"/>
        <w:ind w:right="0" w:firstLine="0"/>
        <w:jc w:val="both"/>
      </w:pPr>
      <w:r>
        <w:rPr>
          <w:rStyle w:val="CharStyle32"/>
        </w:rPr>
        <w:t xml:space="preserve">Действителен с 04.08.2025 </w:t>
      </w:r>
      <w:r>
        <w:rPr>
          <w:rStyle w:val="CharStyle32"/>
          <w:color w:val="575757"/>
        </w:rPr>
        <w:t xml:space="preserve">по </w:t>
      </w:r>
      <w:r>
        <w:rPr>
          <w:rStyle w:val="CharStyle32"/>
        </w:rPr>
        <w:t>28.10.2026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color w:val="000000"/>
        </w:rPr>
        <w:t>Исп.Вертий А.А.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3"/>
          <w:color w:val="000000"/>
        </w:rPr>
        <w:t>тел.(863) 240-86-88, вн.061-182</w:t>
      </w:r>
    </w:p>
    <w:sectPr>
      <w:footerReference w:type="default" r:id="rId13"/>
      <w:footerReference w:type="first" r:id="rId14"/>
      <w:footnotePr>
        <w:pos w:val="pageBottom"/>
        <w:numFmt w:val="decimal"/>
        <w:numRestart w:val="continuous"/>
      </w:footnotePr>
      <w:pgSz w:w="11900" w:h="16840"/>
      <w:pgMar w:top="1022" w:right="527" w:bottom="1199" w:left="1092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9995535</wp:posOffset>
              </wp:positionV>
              <wp:extent cx="3279775" cy="12827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7977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6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2026-8138</w:t>
                            <w:tab/>
                          </w:r>
                          <w:fldSimple w:instr=" PAGE \* MERGEFORMAT ">
                            <w:r>
                              <w:rPr>
                                <w:rStyle w:val="CharStyle1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75pt;margin-top:787.05000000000007pt;width:258.25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6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2026-8138</w:t>
                      <w:tab/>
                    </w:r>
                    <w:fldSimple w:instr=" PAGE \* MERGEFORMAT ">
                      <w:r>
                        <w:rPr>
                          <w:rStyle w:val="CharStyle1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9995535</wp:posOffset>
              </wp:positionV>
              <wp:extent cx="648970" cy="12827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  <w:lang w:val="ru-RU" w:eastAsia="ru-RU"/>
                            </w:rPr>
                            <w:t>2026-8138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6.5pt;margin-top:787.05000000000007pt;width:51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  <w:lang w:val="ru-RU" w:eastAsia="ru-RU"/>
                      </w:rPr>
                      <w:t>2026-8138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6">
    <w:name w:val="Body text (5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9">
    <w:name w:val="Picture caption_"/>
    <w:basedOn w:val="DefaultParagraphFont"/>
    <w:link w:val="Style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4">
    <w:name w:val="Other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0">
    <w:name w:val="Body text (4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2">
    <w:name w:val="Body text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7">
    <w:name w:val="Body text (6)_"/>
    <w:basedOn w:val="DefaultParagraphFont"/>
    <w:link w:val="Style3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6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5">
    <w:name w:val="Body text (5)"/>
    <w:basedOn w:val="Normal"/>
    <w:link w:val="CharStyle6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8">
    <w:name w:val="Picture caption"/>
    <w:basedOn w:val="Normal"/>
    <w:link w:val="CharStyle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3">
    <w:name w:val="Other"/>
    <w:basedOn w:val="Normal"/>
    <w:link w:val="CharStyle2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9">
    <w:name w:val="Body text (4)"/>
    <w:basedOn w:val="Normal"/>
    <w:link w:val="CharStyle30"/>
    <w:pPr>
      <w:widowControl w:val="0"/>
      <w:shd w:val="clear" w:color="auto" w:fill="auto"/>
      <w:spacing w:after="640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31">
    <w:name w:val="Body text (2)"/>
    <w:basedOn w:val="Normal"/>
    <w:link w:val="CharStyle3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6">
    <w:name w:val="Body text (6)"/>
    <w:basedOn w:val="Normal"/>
    <w:link w:val="CharStyle37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/Relationships>
</file>