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3221" w:h="922" w:wrap="none" w:hAnchor="page" w:x="1602" w:y="961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rStyle w:val="CharStyle3"/>
          <w:b/>
          <w:bCs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framePr w:w="3221" w:h="922" w:wrap="none" w:hAnchor="page" w:x="1602" w:y="961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center"/>
      </w:pPr>
      <w:r>
        <w:rPr>
          <w:rStyle w:val="CharStyle3"/>
          <w:b/>
          <w:bCs/>
        </w:rPr>
        <w:t>УПРАВЛЕНИЕ</w:t>
      </w:r>
    </w:p>
    <w:p>
      <w:pPr>
        <w:pStyle w:val="Style2"/>
        <w:keepNext w:val="0"/>
        <w:keepLines w:val="0"/>
        <w:framePr w:w="1138" w:h="240" w:wrap="none" w:hAnchor="page" w:x="2653" w:y="20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по г. Москве</w:t>
      </w:r>
    </w:p>
    <w:p>
      <w:pPr>
        <w:pStyle w:val="Style2"/>
        <w:keepNext w:val="0"/>
        <w:keepLines w:val="0"/>
        <w:framePr w:w="4066" w:h="1867" w:wrap="none" w:hAnchor="page" w:x="1136" w:y="2502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3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3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6"/>
        <w:keepNext/>
        <w:keepLines/>
        <w:framePr w:w="4066" w:h="1867" w:wrap="none" w:hAnchor="page" w:x="1136" w:y="2502"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7"/>
          <w:u w:val="none"/>
        </w:rPr>
        <w:t>21.05.</w:t>
      </w:r>
      <w:r>
        <w:rPr>
          <w:rStyle w:val="CharStyle7"/>
        </w:rPr>
        <w:t>2026</w:t>
      </w:r>
      <w:r>
        <w:fldChar w:fldCharType="end"/>
      </w:r>
      <w:r>
        <w:rPr>
          <w:rStyle w:val="CharStyle7"/>
          <w:u w:val="none"/>
        </w:rPr>
        <w:tab/>
        <w:t xml:space="preserve">№ </w:t>
      </w:r>
      <w:r>
        <w:rPr>
          <w:rStyle w:val="CharStyle7"/>
        </w:rPr>
        <w:t>21844/26</w:t>
      </w:r>
      <w:bookmarkEnd w:id="0"/>
    </w:p>
    <w:p>
      <w:pPr>
        <w:pStyle w:val="Style2"/>
        <w:keepNext w:val="0"/>
        <w:keepLines w:val="0"/>
        <w:framePr w:w="4066" w:h="1867" w:wrap="none" w:hAnchor="page" w:x="1136" w:y="2502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both"/>
      </w:pPr>
      <w:r>
        <w:rPr>
          <w:rStyle w:val="CharStyle3"/>
        </w:rPr>
        <w:t xml:space="preserve">На№  от</w:t>
      </w:r>
    </w:p>
    <w:p>
      <w:pPr>
        <w:framePr w:w="322" w:h="312" w:wrap="none" w:hAnchor="page" w:x="4928" w:y="4835"/>
        <w:widowControl w:val="0"/>
      </w:pPr>
    </w:p>
    <w:p>
      <w:pPr>
        <w:pStyle w:val="Style9"/>
        <w:keepNext w:val="0"/>
        <w:keepLines w:val="0"/>
        <w:framePr w:w="4810" w:h="5222" w:wrap="none" w:hAnchor="page" w:x="6406" w:y="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ГБУК МТ «НОВАЯ ОПЕРА» им. Е. В.</w:t>
      </w:r>
    </w:p>
    <w:p>
      <w:pPr>
        <w:pStyle w:val="Style9"/>
        <w:keepNext w:val="0"/>
        <w:keepLines w:val="0"/>
        <w:framePr w:w="4810" w:h="5222" w:wrap="none" w:hAnchor="page" w:x="6406" w:y="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Колобова</w:t>
      </w:r>
    </w:p>
    <w:p>
      <w:pPr>
        <w:pStyle w:val="Style9"/>
        <w:keepNext w:val="0"/>
        <w:keepLines w:val="0"/>
        <w:framePr w:w="4810" w:h="5222" w:wrap="none" w:hAnchor="page" w:x="6406" w:y="87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"mailto:torgi@novayaopera.ru" </w:instrText>
      </w:r>
      <w:r>
        <w:fldChar w:fldCharType="separate"/>
      </w:r>
      <w:r>
        <w:rPr>
          <w:rStyle w:val="CharStyle10"/>
          <w:lang w:val="en-US" w:eastAsia="en-US"/>
        </w:rPr>
        <w:t>torgi@novayaopera.ru</w:t>
      </w:r>
      <w:r>
        <w:fldChar w:fldCharType="end"/>
      </w:r>
    </w:p>
    <w:p>
      <w:pPr>
        <w:pStyle w:val="Style9"/>
        <w:keepNext w:val="0"/>
        <w:keepLines w:val="0"/>
        <w:framePr w:w="4810" w:h="5222" w:wrap="none" w:hAnchor="page" w:x="6406" w:y="87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0"/>
        </w:rPr>
        <w:t xml:space="preserve">ООО «СМАРТКЛИМАТ» </w:t>
      </w:r>
      <w:r>
        <w:fldChar w:fldCharType="begin"/>
      </w:r>
      <w:r>
        <w:rPr/>
        <w:instrText> HYPERLINK "mailto:ko@brosk.ru" </w:instrText>
      </w:r>
      <w:r>
        <w:fldChar w:fldCharType="separate"/>
      </w:r>
      <w:r>
        <w:rPr>
          <w:rStyle w:val="CharStyle10"/>
          <w:lang w:val="en-US" w:eastAsia="en-US"/>
        </w:rPr>
        <w:t>ko@brosk.ru</w:t>
      </w:r>
      <w:r>
        <w:fldChar w:fldCharType="end"/>
      </w:r>
    </w:p>
    <w:p>
      <w:pPr>
        <w:pStyle w:val="Style9"/>
        <w:keepNext w:val="0"/>
        <w:keepLines w:val="0"/>
        <w:framePr w:w="4810" w:h="5222" w:wrap="none" w:hAnchor="page" w:x="6406" w:y="87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0"/>
        </w:rPr>
        <w:t xml:space="preserve">ГКУ «Технический центр департамента культуры г. Москвы» </w:t>
      </w:r>
      <w:r>
        <w:fldChar w:fldCharType="begin"/>
      </w:r>
      <w:r>
        <w:rPr/>
        <w:instrText> HYPERLINK "mailto:zakupki@culture.mos.ru" </w:instrText>
      </w:r>
      <w:r>
        <w:fldChar w:fldCharType="separate"/>
      </w:r>
      <w:r>
        <w:rPr>
          <w:rStyle w:val="CharStyle10"/>
          <w:lang w:val="en-US" w:eastAsia="en-US"/>
        </w:rPr>
        <w:t>zakupki@culture.mos.ru</w:t>
      </w:r>
      <w:r>
        <w:fldChar w:fldCharType="end"/>
      </w:r>
    </w:p>
    <w:p>
      <w:pPr>
        <w:pStyle w:val="Style9"/>
        <w:keepNext w:val="0"/>
        <w:keepLines w:val="0"/>
        <w:framePr w:w="4810" w:h="5222" w:wrap="none" w:hAnchor="page" w:x="6406" w:y="87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0"/>
        </w:rPr>
        <w:t xml:space="preserve">АО «Реалист Банк» </w:t>
      </w:r>
      <w:r>
        <w:fldChar w:fldCharType="begin"/>
      </w:r>
      <w:r>
        <w:rPr/>
        <w:instrText> HYPERLINK "mailto:mailbox@realistbank.ru" </w:instrText>
      </w:r>
      <w:r>
        <w:fldChar w:fldCharType="separate"/>
      </w:r>
      <w:r>
        <w:rPr>
          <w:rStyle w:val="CharStyle10"/>
          <w:lang w:val="en-US" w:eastAsia="en-US"/>
        </w:rPr>
        <w:t>mailbox@realistbank.ru</w:t>
      </w:r>
      <w:r>
        <w:fldChar w:fldCharType="end"/>
      </w:r>
    </w:p>
    <w:p>
      <w:pPr>
        <w:pStyle w:val="Style9"/>
        <w:keepNext w:val="0"/>
        <w:keepLines w:val="0"/>
        <w:framePr w:w="4810" w:h="5222" w:wrap="none" w:hAnchor="page" w:x="6406" w:y="87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0"/>
        </w:rPr>
        <w:t xml:space="preserve">АО«ЕЭТП»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0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90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even" r:id="rId9"/>
          <w:footerReference w:type="even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94" w:right="541" w:bottom="602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4" w:right="0" w:bottom="81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>РЕШЕНИЕ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>по делу №077/06/105-6279/2026 о нарушении</w:t>
        <w:br/>
        <w:t>законодательства о контрактной системе</w:t>
        <w:br/>
        <w:t>19.05.2026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218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Комиссия</w:t>
        <w:tab/>
        <w:t>Управления Федеральной антимонопольной службы по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00" w:right="0" w:hanging="700"/>
        <w:jc w:val="both"/>
      </w:pPr>
      <w:r>
        <w:rPr>
          <w:rStyle w:val="CharStyle10"/>
        </w:rPr>
        <w:t>г. Москве по контролю в сфере закупок (далее – Комиссия Управления) в составе: Председательствующего – главного государственного инспектора отдела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обжалования государственных закупок А.А. Кутейникова,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Ведущего специалиста-эксперта отдела обжалования государственных закупок М.В. Сорбучевой,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Специалиста-эксперта отдела обжалования государственных закупок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Е.С. Переверзевой,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при участии представителей: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ГБУК МТ «НОВАЯ ОПЕРА» им. Е. В. Колобова: А.В. Нуждина (по дов. от 14.05.2026 №НО-01-11-10/26),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ООО «СМАРТКЛИМАТ»: О.А. Ковалева (генеральный директор), О.И. Лизунова (по дов. от 04.05.2026 №1),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ГКУ «Технический центр департамента культуры г. Москвы»: О.А. Тумаевой (по дов. от 18.12.2025 №ТЦ-15-94/25),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АО «Реалист Банк»: И.В. Сучкова (по дов. от 11.08.2025 №4924),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рассмотрев жалобу ООО «СМАРТКЛИМАТ» (далее — Заявитель) на действия ГБУК МТ «НОВАЯ ОПЕРА» им. Е. В. Колобова (далее —Заказчик) при проведении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0</wp:posOffset>
            </wp:positionV>
            <wp:extent cx="1511935" cy="29273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52" w:lineRule="auto"/>
        <w:ind w:left="0" w:right="0" w:firstLine="0"/>
        <w:jc w:val="both"/>
      </w:pPr>
      <w:r>
        <w:rPr>
          <w:rStyle w:val="CharStyle10"/>
        </w:rPr>
        <w:t xml:space="preserve">электронного аукциона на право заключения государственного контракта на поставку холодильной машины (чиллера) с дополнительными услугами для нужд ГБУК МТ «Новая Опера» им. Е.В.Колобова (Закупка </w:t>
      </w:r>
      <w:r>
        <w:rPr>
          <w:rStyle w:val="CharStyle10"/>
          <w:lang w:val="en-US" w:eastAsia="en-US"/>
        </w:rPr>
        <w:t xml:space="preserve">№ 0373200138226000323) </w:t>
      </w:r>
      <w:r>
        <w:rPr>
          <w:rStyle w:val="CharStyle10"/>
        </w:rPr>
        <w:t xml:space="preserve">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 xml:space="preserve">аукцион, электронный аукцион), в соответствии с Федеральным законом от </w:t>
      </w:r>
      <w:r>
        <w:rPr>
          <w:rStyle w:val="CharStyle10"/>
          <w:lang w:val="en-US" w:eastAsia="en-US"/>
        </w:rPr>
        <w:t xml:space="preserve">05.04.2013 </w:t>
      </w:r>
      <w:r>
        <w:rPr>
          <w:rStyle w:val="CharStyle10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0"/>
          <w:b/>
          <w:bCs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Московское УФАС России поступила жалоба Заявителя на действия комиссии по осуществлению закупок Заказчика при проведении вышеуказанного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 заседании Комиссии Управления Заказчиком представлены документы и сведения, запрашиваемые Московским УФАС России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По результатам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Заявитель обжалует действия комиссии Заказчика, выразившиеся в неправомерном отклонении своей заявки.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0"/>
          <w:lang w:val="en-US" w:eastAsia="en-US"/>
        </w:rPr>
        <w:t xml:space="preserve">08.04.2026 </w:t>
      </w:r>
      <w:r>
        <w:rPr>
          <w:rStyle w:val="CharStyle10"/>
        </w:rPr>
        <w:t xml:space="preserve">№ИЭА1 заявка Заявителя с идентификационным номером </w:t>
      </w:r>
      <w:r>
        <w:rPr>
          <w:rStyle w:val="CharStyle10"/>
          <w:lang w:val="en-US" w:eastAsia="en-US"/>
        </w:rPr>
        <w:t xml:space="preserve">3169986 </w:t>
      </w:r>
      <w:r>
        <w:rPr>
          <w:rStyle w:val="CharStyle10"/>
        </w:rPr>
        <w:t>отклонена на следующем основании: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  <w:i/>
          <w:iCs/>
        </w:rPr>
        <w:t xml:space="preserve">«Признать заявку не соответствующей извещению об осуществлении закупки на основании п.7 ч.12 ст.48 Федерального закона </w:t>
      </w:r>
      <w:r>
        <w:rPr>
          <w:rStyle w:val="CharStyle10"/>
          <w:i/>
          <w:iCs/>
          <w:lang w:val="en-US" w:eastAsia="en-US"/>
        </w:rPr>
        <w:t xml:space="preserve">№ </w:t>
      </w:r>
      <w:r>
        <w:rPr>
          <w:rStyle w:val="CharStyle10"/>
          <w:i/>
          <w:iCs/>
        </w:rPr>
        <w:t>44-ФЗ: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  <w:i/>
          <w:iCs/>
          <w:lang w:val="en-US" w:eastAsia="en-US"/>
        </w:rPr>
        <w:t xml:space="preserve">- </w:t>
      </w:r>
      <w:r>
        <w:rPr>
          <w:rStyle w:val="CharStyle10"/>
          <w:i/>
          <w:iCs/>
        </w:rPr>
        <w:t xml:space="preserve">отказ в принятии независимой гарантии согласно ч.6 ст.45 Федерального закона </w:t>
      </w:r>
      <w:r>
        <w:rPr>
          <w:rStyle w:val="CharStyle10"/>
          <w:i/>
          <w:iCs/>
          <w:lang w:val="en-US" w:eastAsia="en-US"/>
        </w:rPr>
        <w:t xml:space="preserve">№ </w:t>
      </w:r>
      <w:r>
        <w:rPr>
          <w:rStyle w:val="CharStyle10"/>
          <w:i/>
          <w:iCs/>
        </w:rPr>
        <w:t>44-ФЗ.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  <w:i/>
          <w:iCs/>
        </w:rPr>
        <w:t xml:space="preserve">Обоснование: в соответствии с Независимой гарантией </w:t>
      </w:r>
      <w:r>
        <w:rPr>
          <w:rStyle w:val="CharStyle10"/>
          <w:i/>
          <w:iCs/>
          <w:lang w:val="en-US" w:eastAsia="en-US"/>
        </w:rPr>
        <w:t xml:space="preserve">№ </w:t>
      </w:r>
      <w:r>
        <w:rPr>
          <w:rStyle w:val="CharStyle10"/>
          <w:i/>
          <w:iCs/>
        </w:rPr>
        <w:t xml:space="preserve">527030/ЭГ- </w:t>
      </w:r>
      <w:r>
        <w:rPr>
          <w:rStyle w:val="CharStyle10"/>
          <w:i/>
          <w:iCs/>
          <w:lang w:val="en-US" w:eastAsia="en-US"/>
        </w:rPr>
        <w:t xml:space="preserve">2026 </w:t>
      </w:r>
      <w:r>
        <w:rPr>
          <w:rStyle w:val="CharStyle10"/>
          <w:i/>
          <w:iCs/>
        </w:rPr>
        <w:t xml:space="preserve">от </w:t>
      </w:r>
      <w:r>
        <w:rPr>
          <w:rStyle w:val="CharStyle10"/>
          <w:i/>
          <w:iCs/>
          <w:lang w:val="en-US" w:eastAsia="en-US"/>
        </w:rPr>
        <w:t xml:space="preserve">05.05.2026 </w:t>
      </w:r>
      <w:r>
        <w:rPr>
          <w:rStyle w:val="CharStyle10"/>
          <w:i/>
          <w:iCs/>
        </w:rPr>
        <w:t xml:space="preserve">г., выданной Акционерным обществом «Реалист Банк» (Идентификационный код гаранта </w:t>
      </w:r>
      <w:r>
        <w:rPr>
          <w:rStyle w:val="CharStyle10"/>
          <w:i/>
          <w:iCs/>
          <w:lang w:val="en-US" w:eastAsia="en-US"/>
        </w:rPr>
        <w:t xml:space="preserve">27U10445252855), </w:t>
      </w:r>
      <w:r>
        <w:rPr>
          <w:rStyle w:val="CharStyle10"/>
          <w:i/>
          <w:iCs/>
        </w:rPr>
        <w:t>представленной Участником в целях обеспечения заявки на участие в закупке, пп.б) п.16.1 и п.16.2 независимой гарантии содержат условия, относящиеся к исполнению контракта и не предусмотренные типовой формой независимой гарантии, предоставляемой в качестве обеспечения заявки на участие в закупке».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rStyle w:val="CharStyle10"/>
        </w:rPr>
        <w:t>Согласно п.3 ч.2 ст.42 Закона о контрактной системе извещение об осуществлении закупки, должно содержать электронный документ с требованиями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900"/>
        <w:jc w:val="both"/>
      </w:pPr>
      <w:r>
        <w:rPr>
          <w:rStyle w:val="CharStyle10"/>
        </w:rPr>
        <w:t xml:space="preserve">В силу ч.1 ст.49 Закона о контрактной системе заявка на участие в закупке должна содержать информацию и документы, предусмотренные пп.«м»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«п» п.1, пп.«а»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«в» п.2, п.5 ч.1 ст.43 Закона о контрактной системе. Заявка также может содержать информацию и документы, предусмотренные пп.«д» п.2 ч.1 ст.43 Закона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rStyle w:val="CharStyle10"/>
        </w:rPr>
        <w:t xml:space="preserve">Ч.3 ст.43 Закона о контрактной системе установлено, что требовать от участника закупки представления иных информации и документов, за исключением предусмотренных частями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и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>ст.43 Закона о контрактной системе, не допускается.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rStyle w:val="CharStyle10"/>
        </w:rPr>
        <w:t xml:space="preserve">П.2 ч.6 ст.43 Закон о контрактной системе информация и документы, предусмотренные подпунктами «а»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«л» п.1 ч. ст.43 Закон о контрактной системе, не включаются участником закупки в заявку на участие в закупке. Такие информация и документы в случаях, предусмотренных Законом о контрактной системе, направляются (по состоянию на дату и время их направления) заказчику оператором электронной площадки, оператором специализированной электронной площадки путем информационного взаимодействия с единой информационной системой.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0"/>
        </w:rPr>
        <w:t xml:space="preserve">В соответствии с п.1 Постановления Правительства Российской Федерации от </w:t>
      </w:r>
      <w:r>
        <w:rPr>
          <w:rStyle w:val="CharStyle10"/>
          <w:lang w:val="en-US" w:eastAsia="en-US"/>
        </w:rPr>
        <w:t xml:space="preserve">08.11.2013 № 1005 </w:t>
      </w:r>
      <w:r>
        <w:rPr>
          <w:rStyle w:val="CharStyle10"/>
        </w:rPr>
        <w:t xml:space="preserve">«О независимых гарантиях, используемых для целей Федерального закона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 xml:space="preserve">Постановление </w:t>
      </w:r>
      <w:r>
        <w:rPr>
          <w:rStyle w:val="CharStyle10"/>
          <w:lang w:val="en-US" w:eastAsia="en-US"/>
        </w:rPr>
        <w:t xml:space="preserve">№ 1005) </w:t>
      </w:r>
      <w:r>
        <w:rPr>
          <w:rStyle w:val="CharStyle10"/>
        </w:rPr>
        <w:t>утверждены: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10"/>
        </w:rPr>
        <w:t>дополнительные требования к независимой гарантии, используемой для целей Закона о контрактной системы;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10"/>
        </w:rPr>
        <w:t>перечень документов, представляемых заказчиком гаранту одновременно с требованием об осуществлении уплаты денежной суммы по независимой гарантии, правила ведения и размещения в ЕИС реестра независимых гарантий;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10"/>
        </w:rPr>
        <w:t>форма требования об осуществлении уплаты денежной суммы по независимой гарантии;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10"/>
        </w:rPr>
        <w:t>правила формирования и ведения закрытого реестра независимых гарантий;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10"/>
        </w:rPr>
        <w:t xml:space="preserve">типовая форма независимой гарантии, предоставляемой в качестве обеспечения заявки на участие в закупке товара, работы, услуги для обеспечения государственных и муниципальных нужд 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Типовая форма);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10"/>
        </w:rPr>
        <w:t>типовая форма независимой гарантии, предоставляемой в качестве обеспечения исполнения контракта.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rStyle w:val="CharStyle10"/>
        </w:rPr>
        <w:t>Комиссией управления установлено, что в извещении об осуществлении электронного аукциона Заказчиком установлено следующее: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4" w:right="536" w:bottom="814" w:left="1088" w:header="0" w:footer="3" w:gutter="0"/>
          <w:cols w:space="720"/>
          <w:noEndnote/>
          <w:rtlGutter w:val="0"/>
          <w:docGrid w:linePitch="360"/>
        </w:sectPr>
      </w:pPr>
      <w:r>
        <w:rPr>
          <w:rStyle w:val="CharStyle10"/>
          <w:i/>
          <w:iCs/>
        </w:rPr>
        <w:t xml:space="preserve">«Порядок обеспечения исполнения контракта, требования к обеспечению: Контракт заключается после предоставления заказчику обеспечения исполнения контракта. Обеспечение исполнения контракта может быть представлено в виде безотзывной независимой гарантии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заказчику, в размере обеспечения исполнения контракта, указанном в документации о закупках. Безотзывная независимая гарантия должна соответствовать требованиям, установленным Гражданским кодексом Российской Федерации, а также иным законодательством Российской Федерации. Способ обеспечения исполнения контракта определяется участником закупки, с </w:t>
      </w:r>
      <w:r>
        <w:rPr>
          <w:rStyle w:val="CharStyle10"/>
          <w:sz w:val="24"/>
          <w:szCs w:val="24"/>
          <w:lang w:val="en-US" w:eastAsia="en-US"/>
        </w:rPr>
        <w:t>2026-24988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  <w:i/>
          <w:iCs/>
        </w:rPr>
        <w:t xml:space="preserve">которым заключается контракт, самостоятельно. Срок внесения обеспечения </w:t>
      </w:r>
      <w:r>
        <w:rPr>
          <w:rStyle w:val="CharStyle10"/>
          <w:i/>
          <w:iCs/>
          <w:lang w:val="en-US" w:eastAsia="en-US"/>
        </w:rPr>
        <w:t xml:space="preserve">- </w:t>
      </w:r>
      <w:r>
        <w:rPr>
          <w:rStyle w:val="CharStyle10"/>
          <w:i/>
          <w:iCs/>
        </w:rPr>
        <w:t>до момента заключения контракта».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0"/>
        </w:rPr>
        <w:t xml:space="preserve">Комиссия Управления отмечает, что в составе Заявки Заявителя содержится независимая гарантия от </w:t>
      </w:r>
      <w:r>
        <w:rPr>
          <w:rStyle w:val="CharStyle10"/>
          <w:lang w:val="en-US" w:eastAsia="en-US"/>
        </w:rPr>
        <w:t xml:space="preserve">05.05.2026 </w:t>
      </w:r>
      <w:r>
        <w:rPr>
          <w:rStyle w:val="CharStyle10"/>
        </w:rPr>
        <w:t>№527030//ЭГ-2026, в которой содержится, в том числе, следующая информация: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0"/>
          <w:i/>
          <w:iCs/>
          <w:lang w:val="en-US" w:eastAsia="en-US"/>
        </w:rPr>
        <w:t xml:space="preserve">«16.2. </w:t>
      </w:r>
      <w:r>
        <w:rPr>
          <w:rStyle w:val="CharStyle10"/>
          <w:i/>
          <w:iCs/>
        </w:rPr>
        <w:t>Настоящая независимая гарантия предоставлена под отлагательным условием, предусматривающим заключение между гарантом и принципалом договора предоставления независимой гарантии по обязательствам принципала, возникшим из контракта при его заключении, в случае предоставления настоящей независимой гарантии в качестве обеспечения исполнения контракта».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0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0"/>
        </w:rPr>
        <w:t xml:space="preserve">На заседании Комиссии Управления представитель Заказчика пояснил, что в извещении о закупке и информационной карте установлены требования к независимой гарантии, предоставляемой в качестве обеспечения заявки, в соответствии со ст.45 Закона о контрактной системе и Постановлением </w:t>
      </w:r>
      <w:r>
        <w:rPr>
          <w:rStyle w:val="CharStyle10"/>
          <w:lang w:val="en-US" w:eastAsia="en-US"/>
        </w:rPr>
        <w:t xml:space="preserve">№ 1005, </w:t>
      </w:r>
      <w:r>
        <w:rPr>
          <w:rStyle w:val="CharStyle10"/>
        </w:rPr>
        <w:t>включая типовую форму.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0"/>
        </w:rPr>
        <w:t>Представленная Заявителем независимая гарантия одновременно содержит: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0"/>
        </w:rPr>
        <w:t xml:space="preserve">условия, относящиеся к обеспечению исполнения контракта (п. </w:t>
      </w:r>
      <w:r>
        <w:rPr>
          <w:rStyle w:val="CharStyle10"/>
          <w:lang w:val="en-US" w:eastAsia="en-US"/>
        </w:rPr>
        <w:t xml:space="preserve">16.1 – </w:t>
      </w:r>
      <w:r>
        <w:rPr>
          <w:rStyle w:val="CharStyle10"/>
        </w:rPr>
        <w:t>уменьшение обеспечения по контракту);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0"/>
        </w:rPr>
        <w:t xml:space="preserve">отлагательное условие, предусматривающее заключение договора о предоставлении гарантии по обязательствам из контракта (п. </w:t>
      </w:r>
      <w:r>
        <w:rPr>
          <w:rStyle w:val="CharStyle10"/>
          <w:lang w:val="en-US" w:eastAsia="en-US"/>
        </w:rPr>
        <w:t>16.2).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0"/>
        </w:rPr>
        <w:t xml:space="preserve">Закон о контрактной системе и Постановление </w:t>
      </w:r>
      <w:r>
        <w:rPr>
          <w:rStyle w:val="CharStyle10"/>
          <w:lang w:val="en-US" w:eastAsia="en-US"/>
        </w:rPr>
        <w:t xml:space="preserve">№ 1005 </w:t>
      </w:r>
      <w:r>
        <w:rPr>
          <w:rStyle w:val="CharStyle10"/>
        </w:rPr>
        <w:t>не допускают включение в гарантию, предоставляемую в качестве обеспечения заявки, условий, относящихся к обеспечению исполнения контракта, а также смешение обоих видов гарантий. Это противоречит требованиям извещения и типовой форме, искажает смысл обеспечения заявки и ограничивает права бенефициара.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0"/>
        </w:rPr>
        <w:t>На основании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0"/>
        </w:rPr>
        <w:t xml:space="preserve">Так, Заявитель указал, что представленная независимая гарантия </w:t>
      </w:r>
      <w:r>
        <w:rPr>
          <w:rStyle w:val="CharStyle10"/>
          <w:lang w:val="en-US" w:eastAsia="en-US"/>
        </w:rPr>
        <w:t xml:space="preserve">№ </w:t>
      </w:r>
      <w:r>
        <w:rPr>
          <w:rStyle w:val="CharStyle10"/>
        </w:rPr>
        <w:t xml:space="preserve">527030/ЭГ-2026 от </w:t>
      </w:r>
      <w:r>
        <w:rPr>
          <w:rStyle w:val="CharStyle10"/>
          <w:lang w:val="en-US" w:eastAsia="en-US"/>
        </w:rPr>
        <w:t xml:space="preserve">05.05.2026 </w:t>
      </w:r>
      <w:r>
        <w:rPr>
          <w:rStyle w:val="CharStyle10"/>
        </w:rPr>
        <w:t xml:space="preserve">прямо поименована в пункте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>как обеспечивающая обязательства по заключению контракта (обеспечение заявки), а также размещена в реестре независимых гарантий ЕИС.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0"/>
        </w:rPr>
        <w:t xml:space="preserve">Спорные пункты </w:t>
      </w:r>
      <w:r>
        <w:rPr>
          <w:rStyle w:val="CharStyle10"/>
          <w:lang w:val="en-US" w:eastAsia="en-US"/>
        </w:rPr>
        <w:t xml:space="preserve">16.1 </w:t>
      </w:r>
      <w:r>
        <w:rPr>
          <w:rStyle w:val="CharStyle10"/>
        </w:rPr>
        <w:t xml:space="preserve">пп.«б» и </w:t>
      </w:r>
      <w:r>
        <w:rPr>
          <w:rStyle w:val="CharStyle10"/>
          <w:lang w:val="en-US" w:eastAsia="en-US"/>
        </w:rPr>
        <w:t xml:space="preserve">16.2 </w:t>
      </w:r>
      <w:r>
        <w:rPr>
          <w:rStyle w:val="CharStyle10"/>
        </w:rPr>
        <w:t>находятся в разделе «Дополнительные условия», предусмотренном типовой формой. Они носят отсылочный характер, не отменяют обязательных условий гарантии, не ухудшают положение бенефициара и не создают препятствий для получения выплаты.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67" w:right="541" w:bottom="1114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>Комиссия Управления обращает внимание на следующее. Представленная Заявителем независимая гарантия выдана в качестве обеспечения заявки на участие в закупке, то есть на стадии заключения контракта, и её правовая природа предполагает обеспечение исключительно обязательств принципала по заключению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 xml:space="preserve">контракта. Вместе с тем условие, изложенное в пункте </w:t>
      </w:r>
      <w:r>
        <w:rPr>
          <w:rStyle w:val="CharStyle10"/>
          <w:lang w:val="en-US" w:eastAsia="en-US"/>
        </w:rPr>
        <w:t xml:space="preserve">16.2 </w:t>
      </w:r>
      <w:r>
        <w:rPr>
          <w:rStyle w:val="CharStyle10"/>
        </w:rPr>
        <w:t>данной гарантии, по своему содержанию относится к обязательствам, возникающим в рамках исполнения контракта, что не соответствует предмету и цели выданного обеспечения.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Таким образом, Комиссия Управления отмечает, что включение указанного условия создаёт внутреннее противоречие в содержании независимой гарантии, что свидетельствует о её несоответствии типовой форме, установленной Постановлением Правительства Российской Федерации от </w:t>
      </w:r>
      <w:r>
        <w:rPr>
          <w:rStyle w:val="CharStyle10"/>
          <w:lang w:val="en-US" w:eastAsia="en-US"/>
        </w:rPr>
        <w:t xml:space="preserve">08.11.2013 № 1005, </w:t>
      </w:r>
      <w:r>
        <w:rPr>
          <w:rStyle w:val="CharStyle10"/>
        </w:rPr>
        <w:t>и исключает возможность её принятия заказчиком в качестве надлежащего обеспечения заявки.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На основании пп. 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49 </w:t>
      </w:r>
      <w:r>
        <w:rPr>
          <w:rStyle w:val="CharStyle10"/>
        </w:rPr>
        <w:t xml:space="preserve">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пп. </w:t>
      </w:r>
      <w:r>
        <w:rPr>
          <w:rStyle w:val="CharStyle10"/>
          <w:lang w:val="en-US" w:eastAsia="en-US"/>
        </w:rPr>
        <w:t xml:space="preserve">1 - 8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12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48 </w:t>
      </w:r>
      <w:r>
        <w:rPr>
          <w:rStyle w:val="CharStyle10"/>
        </w:rPr>
        <w:t>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силу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и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>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непредставления информации и документов, предусмотренных п.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и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>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несоответствия участника закупки требованиям, установленным в извещении об осуществлении закупки в соответствии с ч.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31 </w:t>
      </w:r>
      <w:r>
        <w:rPr>
          <w:rStyle w:val="CharStyle10"/>
        </w:rPr>
        <w:t xml:space="preserve">Закона о контрактной системе, требованиям, установленным в извещении об осуществлении закупки в соответствии с ч. </w:t>
      </w:r>
      <w:r>
        <w:rPr>
          <w:rStyle w:val="CharStyle10"/>
          <w:lang w:val="en-US" w:eastAsia="en-US"/>
        </w:rPr>
        <w:t xml:space="preserve">1.1, 2 </w:t>
      </w:r>
      <w:r>
        <w:rPr>
          <w:rStyle w:val="CharStyle10"/>
        </w:rPr>
        <w:t xml:space="preserve">и </w:t>
      </w:r>
      <w:r>
        <w:rPr>
          <w:rStyle w:val="CharStyle10"/>
          <w:lang w:val="en-US" w:eastAsia="en-US"/>
        </w:rPr>
        <w:t xml:space="preserve">2.1 </w:t>
      </w:r>
      <w:r>
        <w:rPr>
          <w:rStyle w:val="CharStyle10"/>
        </w:rPr>
        <w:t xml:space="preserve">(при наличии таких требований) ст. </w:t>
      </w:r>
      <w:r>
        <w:rPr>
          <w:rStyle w:val="CharStyle10"/>
          <w:lang w:val="en-US" w:eastAsia="en-US"/>
        </w:rPr>
        <w:t xml:space="preserve">31 </w:t>
      </w:r>
      <w:r>
        <w:rPr>
          <w:rStyle w:val="CharStyle10"/>
        </w:rPr>
        <w:t>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предусмотренных пп. «а» п.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(за исключением случая, предусмотренного п.5 ч.12 ст.48 Закона о контрактной системе), пп. «а» п.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4, </w:t>
      </w:r>
      <w:r>
        <w:rPr>
          <w:rStyle w:val="CharStyle10"/>
        </w:rPr>
        <w:t xml:space="preserve">пп. «а» п.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(за исключением случая, предусмотренного п.5 ч.12 ст.48 Закона о контрактной системе), п.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5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14 </w:t>
      </w:r>
      <w:r>
        <w:rPr>
          <w:rStyle w:val="CharStyle10"/>
        </w:rPr>
        <w:t>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1" w:val="left"/>
        </w:tabs>
        <w:bidi w:val="0"/>
        <w:spacing w:before="0" w:after="0" w:line="276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10"/>
        </w:rPr>
        <w:t xml:space="preserve">непредставления информации и документов, предусмотренных п. </w:t>
      </w:r>
      <w:r>
        <w:rPr>
          <w:rStyle w:val="CharStyle10"/>
          <w:lang w:val="en-US" w:eastAsia="en-US"/>
        </w:rPr>
        <w:t xml:space="preserve">5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43 </w:t>
      </w:r>
      <w:r>
        <w:rPr>
          <w:rStyle w:val="CharStyle10"/>
        </w:rPr>
        <w:t xml:space="preserve">Закона о контрактной системе, если такие информация и документы определены в соответствии с п.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14 </w:t>
      </w:r>
      <w:r>
        <w:rPr>
          <w:rStyle w:val="CharStyle10"/>
        </w:rPr>
        <w:t xml:space="preserve">Закона о контрактной системе (в случае установления </w:t>
      </w:r>
      <w:r>
        <w:rPr>
          <w:rStyle w:val="CharStyle10"/>
          <w:sz w:val="24"/>
          <w:szCs w:val="24"/>
          <w:lang w:val="en-US" w:eastAsia="en-US"/>
        </w:rPr>
        <w:t>2026-24988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 xml:space="preserve">в соответствии с пп. «а» п.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ч.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14 </w:t>
      </w:r>
      <w:r>
        <w:rPr>
          <w:rStyle w:val="CharStyle10"/>
        </w:rPr>
        <w:t>Закона о контрактной системе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10"/>
        </w:rPr>
        <w:t xml:space="preserve">выявления отнесения участника закупки к организациям, предусмотренным п.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Федерального закона от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июня </w:t>
      </w:r>
      <w:r>
        <w:rPr>
          <w:rStyle w:val="CharStyle10"/>
          <w:lang w:val="en-US" w:eastAsia="en-US"/>
        </w:rPr>
        <w:t xml:space="preserve">2018 </w:t>
      </w:r>
      <w:r>
        <w:rPr>
          <w:rStyle w:val="CharStyle10"/>
        </w:rPr>
        <w:t>года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41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10"/>
        </w:rPr>
        <w:t xml:space="preserve">предусмотренных ч.6 ст. </w:t>
      </w:r>
      <w:r>
        <w:rPr>
          <w:rStyle w:val="CharStyle10"/>
          <w:lang w:val="en-US" w:eastAsia="en-US"/>
        </w:rPr>
        <w:t xml:space="preserve">45 </w:t>
      </w:r>
      <w:r>
        <w:rPr>
          <w:rStyle w:val="CharStyle10"/>
        </w:rPr>
        <w:t>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10"/>
        </w:rPr>
        <w:t>выявления недостоверной информации, содержащейся в заявке на участие в закупке;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10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0"/>
        </w:rPr>
        <w:t>На основе вышеизложенного, Комиссия Управления приходит к выводу, что у комиссии об осуществлении закупок Заказчика имелись правовые основания для признания заявки Заявителя, не соответствующей требованиям, по основаниям указанным в протоколе подведения итогов определения поставщика (подрядчика, исполнителя), ввиду чего Комиссия Управления приходит к выводу о том, что довод жалобы Заявителя не нашел своего подтверждения и является необоснованным.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0"/>
        </w:rPr>
        <w:t>Одновременно с этим, в ходе проведения внеплановой проверки, Комиссией Управления установлено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0"/>
        </w:rPr>
        <w:t xml:space="preserve">Типовая форма утверждена постановлением Правительства Российской Федерации от </w:t>
      </w:r>
      <w:r>
        <w:rPr>
          <w:rStyle w:val="CharStyle10"/>
          <w:lang w:val="en-US" w:eastAsia="en-US"/>
        </w:rPr>
        <w:t xml:space="preserve">09.08.2022 № 1397 </w:t>
      </w:r>
      <w:r>
        <w:rPr>
          <w:rStyle w:val="CharStyle10"/>
        </w:rPr>
        <w:t>«О независимых гарантиях, предоставляемых в качестве обеспечения заявки на участие в конкурентной закупке товаров, работ, услуг в электронной форме с участием субъектов малого и среднего предпринимательства, и независимых гарантиях, предоставляемых в качестве обеспечения исполнения договора, заключаемого по результатам такой закупки, а также о внесении изменений в некоторые акты Правительства Российской Федерации».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0"/>
        </w:rPr>
        <w:t xml:space="preserve">Вместе с этим, как установлено Комиссией Управления, независимая гарантия, выданная Банком АО «Реалист Банк», не соответствует требованиям Типовой формы, так как содержит условия, относящиеся к обеспечению исполнения контракта, что не предусмотрено ни Законом о контрактной системе ни Постановлением </w:t>
      </w:r>
      <w:r>
        <w:rPr>
          <w:rStyle w:val="CharStyle10"/>
          <w:lang w:val="en-US" w:eastAsia="en-US"/>
        </w:rPr>
        <w:t xml:space="preserve">№1005, </w:t>
      </w:r>
      <w:r>
        <w:rPr>
          <w:rStyle w:val="CharStyle10"/>
        </w:rPr>
        <w:t>предоставляемых в качестве обеспечения заявки на участие в закупке.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0"/>
        </w:rPr>
        <w:t xml:space="preserve">Комиссия Управления обращает внимание, что на Банк наложено обязательство о выпуске независимых гарантий требованиям Постановления </w:t>
      </w:r>
      <w:r>
        <w:rPr>
          <w:rStyle w:val="CharStyle10"/>
          <w:lang w:val="en-US" w:eastAsia="en-US"/>
        </w:rPr>
        <w:t xml:space="preserve">№1005, </w:t>
      </w:r>
      <w:r>
        <w:rPr>
          <w:rStyle w:val="CharStyle10"/>
        </w:rPr>
        <w:t xml:space="preserve">что фактически в настоящем случае не осуществлено, поскольку Независимая гарантия, выданная Банком АО «Реалист Банк» в данном случае, не соответствует типовой форме независимой гарантии, утвержденной Постановлением </w:t>
      </w:r>
      <w:r>
        <w:rPr>
          <w:rStyle w:val="CharStyle10"/>
          <w:lang w:val="en-US" w:eastAsia="en-US"/>
        </w:rPr>
        <w:t>№1005.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680"/>
        <w:jc w:val="both"/>
        <w:rPr>
          <w:sz w:val="24"/>
          <w:szCs w:val="24"/>
        </w:rPr>
        <w:sectPr>
          <w:headerReference w:type="default" r:id="rId15"/>
          <w:footerReference w:type="default" r:id="rId16"/>
          <w:headerReference w:type="even" r:id="rId17"/>
          <w:footerReference w:type="even" r:id="rId18"/>
          <w:footnotePr>
            <w:pos w:val="pageBottom"/>
            <w:numFmt w:val="decimal"/>
            <w:numRestart w:val="continuous"/>
          </w:footnotePr>
          <w:pgSz w:w="11900" w:h="16840"/>
          <w:pgMar w:top="1138" w:right="536" w:bottom="677" w:left="1106" w:header="0" w:footer="249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 xml:space="preserve">Таким образом, вышеуказанные действия Банка АО «Реалист Банк» нарушают ч.8.2 ст.45 Закона о контрактной системе, что содержит признаки состава административного правонарушения, ответственность за которое предусмотрена </w:t>
      </w:r>
      <w:r>
        <w:rPr>
          <w:rStyle w:val="CharStyle10"/>
          <w:sz w:val="24"/>
          <w:szCs w:val="24"/>
          <w:lang w:val="en-US" w:eastAsia="en-US"/>
        </w:rPr>
        <w:t>2026-24988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77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ч.9</w:t>
        <w:tab/>
        <w:t>ст.7.30.1 Кодекса Российской Федерации об административных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  <w:sectPr>
          <w:headerReference w:type="default" r:id="rId19"/>
          <w:footerReference w:type="default" r:id="rId20"/>
          <w:headerReference w:type="even" r:id="rId21"/>
          <w:footerReference w:type="even" r:id="rId22"/>
          <w:footnotePr>
            <w:pos w:val="pageBottom"/>
            <w:numFmt w:val="decimal"/>
            <w:numRestart w:val="continuous"/>
          </w:footnotePr>
          <w:pgSz w:w="11900" w:h="16840"/>
          <w:pgMar w:top="1162" w:right="551" w:bottom="1162" w:left="1111" w:header="0" w:footer="3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10"/>
          <w:b/>
          <w:bCs/>
        </w:rPr>
        <w:t>РЕШИЛА: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Признать жалобу ООО «СМАРТКЛИМАТ» на действия комиссии по осуществлению закупок ГБУК МТ «НОВАЯ ОПЕРА» им. Е. В. Колобова необоснованной.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Признать в действиях Банка АО «Реалист Банк» нарушения ч.8.2 ст.45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Выдать комиссии Заказчика, Заказчику, оператору электронной площадки, Банку АО «Реалист Банк» предписание об устранении выявленных нарушений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6" w:val="left"/>
        </w:tabs>
        <w:bidi w:val="0"/>
        <w:spacing w:before="0" w:after="300" w:line="240" w:lineRule="auto"/>
        <w:ind w:left="0" w:right="0" w:firstLine="700"/>
        <w:jc w:val="both"/>
      </w:pPr>
      <w:r>
        <w:rPr>
          <w:rStyle w:val="CharStyle10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0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(трех) месяцев с даты его принятия в порядке, установленном гл. </w:t>
      </w:r>
      <w:r>
        <w:rPr>
          <w:rStyle w:val="CharStyle10"/>
          <w:lang w:val="en-US" w:eastAsia="en-US"/>
        </w:rPr>
        <w:t xml:space="preserve">24 </w:t>
      </w:r>
      <w:r>
        <w:rPr>
          <w:rStyle w:val="CharStyle10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2305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49300" distB="340995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749300</wp:posOffset>
                </wp:positionV>
                <wp:extent cx="1844040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8.200000000000003pt;margin-top:59.pt;width:145.20000000000002pt;height:19.699999999999999pt;z-index:-125829374;mso-wrap-distance-left:0;mso-wrap-distance-top:59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819150" distB="0" distL="0" distR="1786255" simplePos="0" relativeHeight="125829381" behindDoc="0" locked="0" layoutInCell="1" allowOverlap="1">
            <wp:simplePos x="0" y="0"/>
            <wp:positionH relativeFrom="page">
              <wp:posOffset>3107690</wp:posOffset>
            </wp:positionH>
            <wp:positionV relativeFrom="paragraph">
              <wp:posOffset>819150</wp:posOffset>
            </wp:positionV>
            <wp:extent cx="359410" cy="524510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1224280</wp:posOffset>
                </wp:positionV>
                <wp:extent cx="1283335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0.94999999999999pt;margin-top:96.400000000000006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907415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80000000000001pt;margin-top:71.45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49300" distB="340995" distL="0" distR="0" simplePos="0" relativeHeight="125829382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749300</wp:posOffset>
                </wp:positionV>
                <wp:extent cx="1307465" cy="25019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465.25pt;margin-top:59.pt;width:102.95pt;height:19.699999999999999pt;z-index:-125829371;mso-wrap-distance-left:0;mso-wrap-distance-top:59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Кутейников Антон Андреевич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67950889C45403E5BD9EBC88A8D80C0D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rStyle w:val="CharStyle21"/>
        </w:rPr>
        <w:t xml:space="preserve">Действителен с 19.05.2025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12.08.2026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0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77.75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М.В. Сорбучева</w: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6"/>
          <w:color w:val="FFFFFF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СОРБУЧЕВА МАРИЯ ВАСИЛЬЕВНА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6EBF6CE6C27B6345D47DBCD40C7FA5FD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rStyle w:val="CharStyle21"/>
        </w:rPr>
        <w:t xml:space="preserve">Действителен с 19.09.2025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13.12.2026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80.90000000000003pt;margin-top:36.550000000000004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147320</wp:posOffset>
                </wp:positionV>
                <wp:extent cx="1725295" cy="259080"/>
                <wp:wrapNone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77.5pt;margin-top:11.6pt;width:135.84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Е.С. Переверзева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ПЕРЕВЕРЗЕВА ЕЛИЗАВЕТА СЕРГЕЕВНА</w:t>
      </w:r>
      <w:r>
        <w:rPr>
          <w:rStyle w:val="CharStyle21"/>
          <w:color w:val="000000"/>
        </w:rPr>
        <w:t xml:space="preserve"> </w:t>
      </w: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00FFF3ACD3A01A73F4C680C3941</w:t>
      </w:r>
      <w:r>
        <w:rPr>
          <w:rStyle w:val="CharStyle21"/>
        </w:rPr>
        <w:t>ЕЗСА026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20" w:line="266" w:lineRule="auto"/>
        <w:ind w:right="0" w:firstLine="0"/>
        <w:jc w:val="left"/>
      </w:pPr>
      <w:r>
        <w:rPr>
          <w:rStyle w:val="CharStyle21"/>
        </w:rPr>
        <w:t xml:space="preserve">Действителен с 11.12.2025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06.03.2027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8"/>
        </w:rPr>
        <w:t>Исп.Переверзева Е.С. тел.(495)784-75-05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10175875</wp:posOffset>
              </wp:positionV>
              <wp:extent cx="72263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</w:rPr>
                            <w:t>2026-24988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200000000000003pt;margin-top:801.25pt;width:56.899999999999999pt;height:8.15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</w:rPr>
                      <w:t>2026-24988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10247630</wp:posOffset>
              </wp:positionV>
              <wp:extent cx="734695" cy="9461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</w:rPr>
                            <w:t>2026-24988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806.89999999999998pt;width:57.850000000000001pt;height:7.4500000000000002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</w:rPr>
                      <w:t>2026-24988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5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10175875</wp:posOffset>
              </wp:positionV>
              <wp:extent cx="722630" cy="10350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</w:rPr>
                            <w:t>2026-24988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7.200000000000003pt;margin-top:801.25pt;width:56.899999999999999pt;height:8.1500000000000004pt;z-index:-18874404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</w:rPr>
                      <w:t>2026-24988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9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10175875</wp:posOffset>
              </wp:positionV>
              <wp:extent cx="722630" cy="103505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</w:rPr>
                            <w:t>2026-24988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57.200000000000003pt;margin-top:801.25pt;width:56.899999999999999pt;height:8.1500000000000004pt;z-index:-18874404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</w:rPr>
                      <w:t>2026-24988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401320</wp:posOffset>
              </wp:positionV>
              <wp:extent cx="7620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2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25pt;margin-top:31.600000000000001pt;width:6.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2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509270</wp:posOffset>
              </wp:positionV>
              <wp:extent cx="76200" cy="6985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2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pt;margin-top:40.100000000000001pt;width:6.pt;height:5.5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2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9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401320</wp:posOffset>
              </wp:positionV>
              <wp:extent cx="76200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2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25pt;margin-top:31.600000000000001pt;width:6.pt;height:8.1500000000000004pt;z-index:-1887440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2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401320</wp:posOffset>
              </wp:positionV>
              <wp:extent cx="76200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2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9.25pt;margin-top:31.600000000000001pt;width:6.pt;height:8.1500000000000004pt;z-index:-1887440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2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3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509270</wp:posOffset>
              </wp:positionV>
              <wp:extent cx="76200" cy="6985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2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09.pt;margin-top:40.100000000000001pt;width:6.pt;height:5.5pt;z-index:-18874405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2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7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509270</wp:posOffset>
              </wp:positionV>
              <wp:extent cx="76200" cy="6985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2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309.pt;margin-top:40.100000000000001pt;width:6.pt;height:5.5pt;z-index:-18874404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2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Heading #1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Header or footer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6">
    <w:name w:val="Body text (5)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8">
    <w:name w:val="Body text (4)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6">
    <w:name w:val="Heading #1"/>
    <w:basedOn w:val="Normal"/>
    <w:link w:val="CharStyle7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Header or footer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5">
    <w:name w:val="Body text (5)"/>
    <w:basedOn w:val="Normal"/>
    <w:link w:val="CharStyle26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7">
    <w:name w:val="Body text (4)"/>
    <w:basedOn w:val="Normal"/>
    <w:link w:val="CharStyle28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png"/><Relationship Id="rId14" Type="http://schemas.openxmlformats.org/officeDocument/2006/relationships/image" Target="media/image2.png" TargetMode="Externa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header" Target="header6.xml"/><Relationship Id="rId20" Type="http://schemas.openxmlformats.org/officeDocument/2006/relationships/footer" Target="footer6.xml"/><Relationship Id="rId21" Type="http://schemas.openxmlformats.org/officeDocument/2006/relationships/header" Target="header7.xml"/><Relationship Id="rId22" Type="http://schemas.openxmlformats.org/officeDocument/2006/relationships/footer" Target="footer7.xml"/><Relationship Id="rId23" Type="http://schemas.openxmlformats.org/officeDocument/2006/relationships/image" Target="media/image3.jpeg"/><Relationship Id="rId24" Type="http://schemas.openxmlformats.org/officeDocument/2006/relationships/image" Target="media/image3.jpeg" TargetMode="External"/><Relationship Id="rId25" Type="http://schemas.openxmlformats.org/officeDocument/2006/relationships/image" Target="media/image4.jpeg"/><Relationship Id="rId26" Type="http://schemas.openxmlformats.org/officeDocument/2006/relationships/image" Target="media/image4.jpeg" TargetMode="External"/><Relationship Id="rId27" Type="http://schemas.openxmlformats.org/officeDocument/2006/relationships/image" Target="media/image5.jpeg"/><Relationship Id="rId28" Type="http://schemas.openxmlformats.org/officeDocument/2006/relationships/image" Target="media/image5.jpeg" TargetMode="External"/></Relationships>
</file>