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</w:rPr>
        <w:t>ул. Мира, д. 27, Ханты-Мансийск, 628012</w:t>
        <w:br/>
        <w:t>телефон/факс +7 (3467) 38-80-81</w:t>
        <w:br/>
      </w:r>
      <w:r>
        <w:rPr>
          <w:rStyle w:val="CharStyle6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6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6"/>
          <w:sz w:val="16"/>
          <w:szCs w:val="16"/>
          <w:lang w:val="en-US" w:eastAsia="en-US"/>
        </w:rPr>
        <w:t xml:space="preserve">, </w:t>
      </w:r>
      <w:r>
        <w:rPr>
          <w:rStyle w:val="CharStyle6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6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</w:rPr>
        <w:t>ИНН 8601009316 КПП 860101001 ОГРН 1028600512093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1.05.</w:t>
      </w:r>
      <w:r>
        <w:rPr>
          <w:rStyle w:val="CharStyle12"/>
        </w:rPr>
        <w:t>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СБ/3578/26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9"/>
          <w:szCs w:val="19"/>
        </w:rPr>
      </w:pPr>
      <w:r>
        <w:rPr>
          <w:rStyle w:val="CharStyle15"/>
          <w:rFonts w:ascii="Times New Roman" w:eastAsia="Times New Roman" w:hAnsi="Times New Roman" w:cs="Times New Roman"/>
          <w:color w:val="46609A"/>
          <w:sz w:val="19"/>
          <w:szCs w:val="19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Оператор электронной площадки: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"РТС-тендер"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8"/>
          <w:lang w:val="en-US" w:eastAsia="en-US"/>
        </w:rPr>
        <w:t>ko@rts-tender.ru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Заявитель: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«Аллэндо»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"mailto:allendo@mail.ru" </w:instrText>
      </w:r>
      <w:r>
        <w:fldChar w:fldCharType="separate"/>
      </w:r>
      <w:r>
        <w:rPr>
          <w:rStyle w:val="CharStyle18"/>
          <w:lang w:val="en-US" w:eastAsia="en-US"/>
        </w:rPr>
        <w:t>allendo@mail.ru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Заказчик: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Казенное учреждение Ханты-Мансийского автономного округа – Югры «Центр лекарственного мониторинга»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1045" w:bottom="1313" w:left="1135" w:header="0" w:footer="3" w:gutter="0"/>
          <w:pgNumType w:start="1"/>
          <w:cols w:num="2" w:space="811"/>
          <w:noEndnote/>
          <w:titlePg/>
          <w:rtlGutter w:val="0"/>
          <w:docGrid w:linePitch="360"/>
        </w:sectPr>
      </w:pP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8"/>
          <w:lang w:val="en-US" w:eastAsia="en-US"/>
        </w:rPr>
        <w:t>lab-hmao@clm86.ru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РЕШЕНИЕ № 086/06/48-928/2026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818" w:val="left"/>
        </w:tabs>
        <w:bidi w:val="0"/>
        <w:spacing w:before="0" w:after="0"/>
        <w:ind w:left="0" w:right="0" w:firstLine="560"/>
        <w:jc w:val="both"/>
      </w:pPr>
      <w:r>
        <w:rPr>
          <w:rStyle w:val="CharStyle18"/>
        </w:rPr>
        <w:t>Резолютивная часть объявлена 18.05.2026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60"/>
        <w:jc w:val="both"/>
      </w:pPr>
      <w:r>
        <w:rPr>
          <w:rStyle w:val="CharStyle18"/>
          <w:color w:val="0D0D0D"/>
        </w:rPr>
        <w:t>Изготовлено в полном объеме 21.05.2026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60"/>
        <w:jc w:val="both"/>
      </w:pPr>
      <w:r>
        <w:rPr>
          <w:rStyle w:val="CharStyle18"/>
          <w:color w:val="0D0D0D"/>
        </w:rPr>
        <w:t>Комиссия Управления Федеральной антимонопольной службы по Ханты-Мансийскому автономному округу – Югре (далее – Ханты-Мансийское УФАС России, Управление)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8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/>
        <w:ind w:left="0" w:right="0" w:firstLine="560"/>
        <w:jc w:val="both"/>
      </w:pPr>
      <w:r>
        <w:rPr>
          <w:rStyle w:val="CharStyle18"/>
        </w:rPr>
        <w:t>Бочков С.А. - Руководитель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/>
        <w:ind w:left="0" w:right="0" w:firstLine="560"/>
        <w:jc w:val="both"/>
      </w:pPr>
      <w:r>
        <w:rPr>
          <w:rStyle w:val="CharStyle18"/>
        </w:rPr>
        <w:t>Галиуллина Л.Г. – Главный специалист-эксперт отдела контроля закупок,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300"/>
        <w:ind w:left="0" w:right="0" w:firstLine="560"/>
        <w:jc w:val="both"/>
      </w:pPr>
      <w:r>
        <w:rPr>
          <w:rStyle w:val="CharStyle18"/>
        </w:rPr>
        <w:t>Михайлова О.Н. – Старший специалист 1 разряда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8"/>
        </w:rPr>
        <w:t>от Заявителя – посредством видеоконференцсвязи Шириева А.М. по доверенности № б/н от 15.05.2026 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60"/>
        <w:jc w:val="both"/>
      </w:pPr>
      <w:r>
        <w:rPr>
          <w:rStyle w:val="CharStyle18"/>
        </w:rPr>
        <w:t>от Заказчика – посредством видеоконференцсвязи Манюк Д.В. по доверенности № б/н от 14.05.2026 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60"/>
        <w:jc w:val="both"/>
      </w:pPr>
      <w:r>
        <w:rPr>
          <w:rStyle w:val="CharStyle18"/>
        </w:rPr>
        <w:t>рассмотрев жалобу ООО «Аллэндо» № 5395/26 от 13.05.2026, на действия Заказчика — Ка</w:t>
        <w:softHyphen/>
        <w:t>зенного учреждения Ханты-Мансийского автономного округа – Югры «Центр лекарственного мо</w:t>
        <w:softHyphen/>
        <w:t>ниторинга», при проведении электронного аукциона, предметом которого является «Поставка ме</w:t>
        <w:softHyphen/>
        <w:t>дицинских изделий: Набор для лапароскопических хирургических процедур, не содержащий ле</w:t>
        <w:softHyphen/>
        <w:t>карственные средства, многоразового использования для оснащения (дооснащения) детских боль</w:t>
        <w:softHyphen/>
        <w:t>ниц в рамках регионального проекта «Охрана материнства и детства»» (извещение №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8"/>
          <w:lang w:val="en-US" w:eastAsia="en-US"/>
        </w:rPr>
        <w:t xml:space="preserve">0387200009126001769) </w:t>
      </w:r>
      <w:r>
        <w:rPr>
          <w:rStyle w:val="CharStyle18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8"/>
          <w:b/>
          <w:bCs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Югре поступила жалоба от ООО «Аллэндо» </w:t>
      </w:r>
      <w:r>
        <w:rPr>
          <w:rStyle w:val="CharStyle18"/>
          <w:lang w:val="en-US" w:eastAsia="en-US"/>
        </w:rPr>
        <w:t xml:space="preserve">№ 5395/26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13.05.2026, </w:t>
      </w:r>
      <w:r>
        <w:rPr>
          <w:rStyle w:val="CharStyle18"/>
        </w:rPr>
        <w:t xml:space="preserve">на действия Заказчика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Югры «Центр лекарственного мониторинга», при проведении электронного аукциона, предметом которого является «Поставка медицинских изделий: Набор для лапароскопических хирургических процедур, не содержащий лекарственные средства, многоразового использования для оснащения (дооснащения) детских больниц в рамках регионального проекта «Охрана материнства и детства»» (извещение </w:t>
      </w:r>
      <w:r>
        <w:rPr>
          <w:rStyle w:val="CharStyle18"/>
          <w:lang w:val="en-US" w:eastAsia="en-US"/>
        </w:rPr>
        <w:t>№ 0387200009126001769).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rStyle w:val="CharStyle18"/>
        </w:rPr>
        <w:t>Заявитель считает, что его заявка была незаконно отклонена.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rStyle w:val="CharStyle18"/>
          <w:b/>
          <w:bCs/>
        </w:rPr>
        <w:t>В ходе рассмотрения доводов сторон, материалов дела, Комиссией Управления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2"/>
          <w:b/>
          <w:bCs/>
        </w:rPr>
        <w:t>установлено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Относительно довода жалобы Комиссия Управления поясняет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2"/>
        </w:rPr>
        <w:t xml:space="preserve">Согласно извещению по закупке </w:t>
      </w:r>
      <w:r>
        <w:rPr>
          <w:rStyle w:val="CharStyle22"/>
          <w:lang w:val="en-US" w:eastAsia="en-US"/>
        </w:rPr>
        <w:t xml:space="preserve">№ 0387200009126001769 </w:t>
      </w:r>
      <w:r>
        <w:rPr>
          <w:rStyle w:val="CharStyle22"/>
        </w:rPr>
        <w:t>Заказчику требуется</w:t>
      </w:r>
    </w:p>
    <w:tbl>
      <w:tblPr>
        <w:tblOverlap w:val="never"/>
        <w:jc w:val="center"/>
        <w:tblLayout w:type="fixed"/>
      </w:tblPr>
      <w:tblGrid>
        <w:gridCol w:w="2462"/>
        <w:gridCol w:w="1474"/>
        <w:gridCol w:w="1027"/>
        <w:gridCol w:w="1286"/>
        <w:gridCol w:w="1147"/>
        <w:gridCol w:w="1454"/>
        <w:gridCol w:w="1368"/>
      </w:tblGrid>
      <w:tr>
        <w:trPr>
          <w:trHeight w:val="7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Цена за единицу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Стоимость позиции</w:t>
            </w:r>
          </w:p>
        </w:tc>
      </w:tr>
      <w:tr>
        <w:trPr>
          <w:trHeight w:val="16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>Набор для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b/>
                <w:bCs/>
                <w:sz w:val="18"/>
                <w:szCs w:val="18"/>
              </w:rPr>
              <w:t xml:space="preserve">лапароскопических хирургических процедур, </w:t>
            </w:r>
            <w:r>
              <w:rPr>
                <w:rStyle w:val="CharStyle25"/>
                <w:sz w:val="18"/>
                <w:szCs w:val="18"/>
              </w:rPr>
              <w:t>не содержащий лекарственные средства, многоразового использования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 xml:space="preserve">Идентификатор: </w:t>
            </w:r>
            <w:r>
              <w:rPr>
                <w:rStyle w:val="CharStyle25"/>
                <w:sz w:val="18"/>
                <w:szCs w:val="18"/>
                <w:lang w:val="en-US" w:eastAsia="en-US"/>
              </w:rPr>
              <w:t>212762130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32.50.50.190</w:t>
              <w:softHyphen/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00001361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800000.00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sz w:val="18"/>
                <w:szCs w:val="18"/>
                <w:lang w:val="en-US" w:eastAsia="en-US"/>
              </w:rPr>
              <w:t>6400000.00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9" w:right="0" w:firstLine="0"/>
        <w:jc w:val="left"/>
      </w:pPr>
      <w:r>
        <w:rPr>
          <w:rStyle w:val="CharStyle22"/>
        </w:rPr>
        <w:t xml:space="preserve">Согласно части </w:t>
      </w:r>
      <w:r>
        <w:rPr>
          <w:rStyle w:val="CharStyle22"/>
          <w:lang w:val="en-US" w:eastAsia="en-US"/>
        </w:rPr>
        <w:t xml:space="preserve">6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23 </w:t>
      </w:r>
      <w:r>
        <w:rPr>
          <w:rStyle w:val="CharStyle22"/>
        </w:rPr>
        <w:t>Закона о контрактной системе Порядок формирования 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ведения в единой информационной системе каталога товаров, работ, услуг для обеспечения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>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rStyle w:val="CharStyle18"/>
          <w:lang w:val="en-US" w:eastAsia="en-US"/>
        </w:rPr>
        <w:t xml:space="preserve">5) </w:t>
      </w:r>
      <w:r>
        <w:rPr>
          <w:rStyle w:val="CharStyle18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10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Постановления Правительства РФ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>(ред.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  <w:lang w:val="en-US" w:eastAsia="en-US"/>
        </w:rPr>
        <w:t xml:space="preserve">23.12.2024) </w:t>
      </w:r>
      <w:r>
        <w:rPr>
          <w:rStyle w:val="CharStyle18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Заказчики обязаны применять информацию, включенную в позицию каталога в соответствии с подпунктами «а»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«г» и «е»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«з» пункта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февраля </w:t>
      </w:r>
      <w:r>
        <w:rPr>
          <w:rStyle w:val="CharStyle18"/>
          <w:lang w:val="en-US" w:eastAsia="en-US"/>
        </w:rPr>
        <w:t xml:space="preserve">2017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145 </w:t>
      </w:r>
      <w:r>
        <w:rPr>
          <w:rStyle w:val="CharStyle18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2" w:val="left"/>
        </w:tabs>
        <w:bidi w:val="0"/>
        <w:spacing w:before="0" w:after="0"/>
        <w:ind w:left="1020" w:right="0" w:firstLine="0"/>
        <w:jc w:val="both"/>
      </w:pPr>
      <w:r>
        <w:rPr>
          <w:rStyle w:val="CharStyle18"/>
        </w:rPr>
        <w:t>наименование товара, работы, услуги;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0" w:val="left"/>
        </w:tabs>
        <w:bidi w:val="0"/>
        <w:spacing w:before="0" w:after="0"/>
        <w:ind w:left="0" w:right="0" w:firstLine="1020"/>
        <w:jc w:val="both"/>
      </w:pPr>
      <w:r>
        <w:rPr>
          <w:rStyle w:val="CharStyle18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52" w:val="left"/>
        </w:tabs>
        <w:bidi w:val="0"/>
        <w:spacing w:before="0" w:after="0"/>
        <w:ind w:left="1020" w:right="0" w:firstLine="0"/>
        <w:jc w:val="both"/>
      </w:pPr>
      <w:r>
        <w:rPr>
          <w:rStyle w:val="CharStyle18"/>
        </w:rPr>
        <w:t>описание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 извещении указано, что при описании объекта закупки заказчиком был использован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>«Набор для лапароскопических хирургических процедур, не содержащий лекарственные средства, многоразового использования»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При анализе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>«Набор для лапароскопических хирургических процедур, не содержащий лекарственные средства, многоразового использования» комиссией было установлено, что в нем отсутствует описание характеристик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Постановления Правительства РФ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 xml:space="preserve">(ред. от </w:t>
      </w:r>
      <w:r>
        <w:rPr>
          <w:rStyle w:val="CharStyle18"/>
          <w:lang w:val="en-US" w:eastAsia="en-US"/>
        </w:rPr>
        <w:t xml:space="preserve">23.12.2024) </w:t>
      </w:r>
      <w:r>
        <w:rPr>
          <w:rStyle w:val="CharStyle18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42, </w:t>
      </w: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75 </w:t>
      </w:r>
      <w:r>
        <w:rPr>
          <w:rStyle w:val="CharStyle18"/>
        </w:rPr>
        <w:t>Федерального закона соответственно.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Таким образом поскольку в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 xml:space="preserve">«Набор для лапароскопических хирургических процедур, не содержащий лекарственные средства, многоразового использования» отсутствует описание характеристик товара, то заказчик правомерно описывал товар на основании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08.05.2026 </w:t>
      </w:r>
      <w:r>
        <w:rPr>
          <w:rStyle w:val="CharStyle18"/>
        </w:rPr>
        <w:t xml:space="preserve">№ИЭА1 на участие в закупке было подано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заявок, из которых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заявки были отклонены.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 протоколе приведено следующее обоснование отклонения заявок: «Несоответствие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Закона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44-ФЗ) (Отклонение по п.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44-ФЗ): Заказчику требуется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Набор для лапароскопических хирургических процедур, не содержащий лекарственные средства, многоразового использования </w:t>
      </w:r>
      <w:r>
        <w:rPr>
          <w:rStyle w:val="CharStyle18"/>
          <w:lang w:val="en-US" w:eastAsia="en-US"/>
        </w:rPr>
        <w:t xml:space="preserve">32.50.50.190-00001361, </w:t>
      </w:r>
      <w:r>
        <w:rPr>
          <w:rStyle w:val="CharStyle18"/>
        </w:rPr>
        <w:t xml:space="preserve">соответствует номеру НКМИ </w:t>
      </w:r>
      <w:r>
        <w:rPr>
          <w:rStyle w:val="CharStyle18"/>
          <w:lang w:val="en-US" w:eastAsia="en-US"/>
        </w:rPr>
        <w:t xml:space="preserve">– 268100, </w:t>
      </w:r>
      <w:r>
        <w:rPr>
          <w:rStyle w:val="CharStyle18"/>
        </w:rPr>
        <w:t>в рамках реализации Федерального проекта «Охрана материнства и детства».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Участник к поставке предлагает медицинское изделие в соответствии с РУ: ФСР </w:t>
      </w:r>
      <w:r>
        <w:rPr>
          <w:rStyle w:val="CharStyle18"/>
          <w:lang w:val="en-US" w:eastAsia="en-US"/>
        </w:rPr>
        <w:t xml:space="preserve">2010/06648 </w:t>
      </w:r>
      <w:r>
        <w:rPr>
          <w:rStyle w:val="CharStyle18"/>
        </w:rPr>
        <w:t xml:space="preserve">Набор инструментов хирургических эндоскопических "Медфармсервис" по ТУ </w:t>
      </w:r>
      <w:r>
        <w:rPr>
          <w:rStyle w:val="CharStyle18"/>
          <w:lang w:val="en-US" w:eastAsia="en-US"/>
        </w:rPr>
        <w:t>9437-001</w:t>
        <w:softHyphen/>
        <w:t xml:space="preserve">43790314-99, </w:t>
      </w:r>
      <w:r>
        <w:rPr>
          <w:rStyle w:val="CharStyle18"/>
        </w:rPr>
        <w:t xml:space="preserve">НКМИ </w:t>
      </w:r>
      <w:r>
        <w:rPr>
          <w:rStyle w:val="CharStyle18"/>
          <w:lang w:val="en-US" w:eastAsia="en-US"/>
        </w:rPr>
        <w:t xml:space="preserve">259980 </w:t>
      </w:r>
      <w:r>
        <w:rPr>
          <w:rStyle w:val="CharStyle18"/>
        </w:rPr>
        <w:t>(Набор для проведения общехирургических процедур, не содержащий лекарственные средства, многоразового использования), что не соответствует требованиям Заказчика и НКМИ в рамках реализации Федерального проекта «Охрана материнства и детства».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подпункту «а»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>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8"/>
          <w:lang w:val="en-US" w:eastAsia="en-US"/>
        </w:rPr>
        <w:t xml:space="preserve">1 - 8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системе,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Как указывалось ранее, в качестве обоснования отклонении заявки комиссией заказчика указано «Несоответствие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Закона о контрактной системе) (Отклонение по п.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>Таким образом, основанием для отклонения заявки послужило не соответствие кода НКМИ товара предложенного участником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Однако как указано в пункте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системе, такое отклонение возможно только лишь в том случае, если представленная участником закупки информация в составе заявки противоречит требованиям, установленным в закупочной документации.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 ходе рассмотрения дела комиссией было установлено, что такого требования о соответствии предложенного товара какому-либо коду НМКИ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>документация не содержит (что не отрицалось представителем заказчика).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>Также и заявка заявителя не содержит записей о коде НМКИ.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Довод заказчика о том, что код НМКИ </w:t>
      </w:r>
      <w:r>
        <w:rPr>
          <w:rStyle w:val="CharStyle18"/>
          <w:lang w:val="en-US" w:eastAsia="en-US"/>
        </w:rPr>
        <w:t xml:space="preserve">№ 267930 </w:t>
      </w:r>
      <w:r>
        <w:rPr>
          <w:rStyle w:val="CharStyle18"/>
        </w:rPr>
        <w:t>содержащийся в «справочной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информации» позиции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>«Набор для лапароскопических хирургических процедур, не содержащий лекарственные средства, многоразового использования» подлежит применению, Комиссией не принимается ввиду следующего.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Состав закупочной документации определен статьей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и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 xml:space="preserve">«Набор для лапароскопических хирургических процедур, не содержащий лекарственные средства, многоразового использования» в его перечень не входит. Более того, согласно 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Постановления Правительства РФ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 xml:space="preserve">под каталогом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</w:t>
      </w:r>
      <w:r>
        <w:rPr>
          <w:rStyle w:val="CharStyle18"/>
          <w:lang w:val="en-US" w:eastAsia="en-US"/>
        </w:rPr>
        <w:t xml:space="preserve">034-2014 </w:t>
      </w:r>
      <w:r>
        <w:rPr>
          <w:rStyle w:val="CharStyle18"/>
        </w:rPr>
        <w:t>и включающий в себя информацию в соответствии с настоящими Правилами.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Постановления Правительства РФ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>формирование и ведение каталога осуществляется в единой информационной системе в сфере закупок, в том числе путем информационного взаимодействия с иными информационными системами в случаях,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информационными системами, ведение которых осуществляется уполномоченными федеральными органами исполнительной власти.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Таким образом,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>«Набор для лапароскопических хирургических процедур, не содержащий лекарственные средства, многоразового использования» формируется федеральным органом власти, а не заказчиком, ввиду чего КТРУ так же к закупочной документации не относится.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Более того, указанная справочная информация (в том числе информация о коде НКМИ, его описание) не образует описания объекта закупки в понимании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о контрактной системе. Аналогичную правовую позицию изложило Министерство финансов Российской Федерации в письме от </w:t>
      </w:r>
      <w:r>
        <w:rPr>
          <w:rStyle w:val="CharStyle18"/>
          <w:lang w:val="en-US" w:eastAsia="en-US"/>
        </w:rPr>
        <w:t xml:space="preserve">04.09.2020 № 24-06-08/77872, </w:t>
      </w:r>
      <w:r>
        <w:rPr>
          <w:rStyle w:val="CharStyle18"/>
        </w:rPr>
        <w:t xml:space="preserve">письме от </w:t>
      </w:r>
      <w:r>
        <w:rPr>
          <w:rStyle w:val="CharStyle18"/>
          <w:lang w:val="en-US" w:eastAsia="en-US"/>
        </w:rPr>
        <w:t xml:space="preserve">23.03.2020 № 24-06-07/22512, </w:t>
      </w:r>
      <w:r>
        <w:rPr>
          <w:rStyle w:val="CharStyle18"/>
        </w:rPr>
        <w:t xml:space="preserve">письме от </w:t>
      </w:r>
      <w:r>
        <w:rPr>
          <w:rStyle w:val="CharStyle18"/>
          <w:lang w:val="en-US" w:eastAsia="en-US"/>
        </w:rPr>
        <w:t>21.01.2020 № 24-06-07/2815.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Одновременно с этим следует учесть, что код НМКИ технической, функциональной характеристикой товара, в понимании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системе, не является.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Письмом Минздрав России </w:t>
      </w:r>
      <w:r>
        <w:rPr>
          <w:rStyle w:val="CharStyle18"/>
          <w:lang w:val="en-US" w:eastAsia="en-US"/>
        </w:rPr>
        <w:t xml:space="preserve">25-3/4-2-20326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14.10.2026 </w:t>
      </w:r>
      <w:r>
        <w:rPr>
          <w:rStyle w:val="CharStyle18"/>
        </w:rPr>
        <w:t xml:space="preserve">установлено, что подпунктом «д» пункта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 xml:space="preserve">Правил при формировании каталога товаров, работ, услуг для обеспечения государственных и муниципальных нужд, утвержденных Постановлением </w:t>
      </w:r>
      <w:r>
        <w:rPr>
          <w:rStyle w:val="CharStyle18"/>
          <w:lang w:val="en-US" w:eastAsia="en-US"/>
        </w:rPr>
        <w:t xml:space="preserve">№ 145, </w:t>
      </w:r>
      <w:r>
        <w:rPr>
          <w:rStyle w:val="CharStyle18"/>
        </w:rPr>
        <w:t>в позицию каталога товаров, работ, услуг для обеспечения государственных и муниципальных нужд, в том числе включается справочная информация, такая как, коды, соответствующие товару, работе, услуге согласно российским и международным системам классификации, каталогизации (при наличии).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Вместе с тем указанная справочная информация не является описанием объекта закупки в соответствии с положениями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Также, письмом Минздрава России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25-3/и/2-20326, ФАС России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ТН/92615/24 от </w:t>
      </w:r>
      <w:r>
        <w:rPr>
          <w:rStyle w:val="CharStyle18"/>
          <w:lang w:val="en-US" w:eastAsia="en-US"/>
        </w:rPr>
        <w:t xml:space="preserve">14.10.2024 </w:t>
      </w:r>
      <w:r>
        <w:rPr>
          <w:rStyle w:val="CharStyle18"/>
        </w:rPr>
        <w:t>"О неправомерности отклонения заявки участника закупки в случае несоответствия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кода НКМИ, предложенного участником товара, коду НКМИ, установленному заказчиком в извещении об осуществлении закупки" установлено, что согласно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27 </w:t>
      </w:r>
      <w:r>
        <w:rPr>
          <w:rStyle w:val="CharStyle18"/>
        </w:rPr>
        <w:t>Закона о контрактной системе отклонение заявки на участие в закупке по основаниям, не предусмотренным Законом о контрактной системе, не допускается.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Следовательно, поскольку заказчик не установил в закупке дополнительные требования о соответствии какому-либо коду НКМИ, а так же поскольку код НМКИ не являются техническими и функциональными характеристиками, а КТРУ </w:t>
      </w:r>
      <w:r>
        <w:rPr>
          <w:rStyle w:val="CharStyle18"/>
          <w:lang w:val="en-US" w:eastAsia="en-US"/>
        </w:rPr>
        <w:t xml:space="preserve">№ 32.50.50.190-00001361 </w:t>
      </w:r>
      <w:r>
        <w:rPr>
          <w:rStyle w:val="CharStyle18"/>
        </w:rPr>
        <w:t xml:space="preserve">«Набор для лапароскопических хирургических процедур, не содержащий лекарственные средства, многоразового использования», не содержащий лекарственные средства, многоразового использования» не входит в состав закупочной документации, то отклонение заявки по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системе, а именно за «Несоответствие информации и документов требованиям, предусмотренным извещением» неправомерно.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Участник к поставке предлагал медицинское изделие в соответствии с РУ: ФСР </w:t>
      </w:r>
      <w:r>
        <w:rPr>
          <w:rStyle w:val="CharStyle18"/>
          <w:lang w:val="en-US" w:eastAsia="en-US"/>
        </w:rPr>
        <w:t xml:space="preserve">2010/06648 </w:t>
      </w:r>
      <w:r>
        <w:rPr>
          <w:rStyle w:val="CharStyle18"/>
          <w:u w:val="single"/>
        </w:rPr>
        <w:t>набор инструментов хирургических эндоскопических "Медфармсервис"</w:t>
      </w:r>
      <w:r>
        <w:rPr>
          <w:rStyle w:val="CharStyle18"/>
        </w:rPr>
        <w:t xml:space="preserve"> по ТУ </w:t>
      </w:r>
      <w:r>
        <w:rPr>
          <w:rStyle w:val="CharStyle18"/>
          <w:lang w:val="en-US" w:eastAsia="en-US"/>
        </w:rPr>
        <w:t>9437-001-43790314</w:t>
        <w:softHyphen/>
        <w:t>99.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Заказчик пояснил, что в рамках реализации Федерального проекта «Охрана материнства и детства» для дооснащения медицинского учреждения выданы целевые денежные средства на приобретение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набора для лапароскопических хирургических процедур, не содержащий лекарственные средства, многоразового использования, который зашифровывает свое название в шестизначный код номенклатурной классификации медицинских изделий по видам </w:t>
      </w:r>
      <w:r>
        <w:rPr>
          <w:rStyle w:val="CharStyle18"/>
          <w:lang w:val="en-US" w:eastAsia="en-US"/>
        </w:rPr>
        <w:t>– 268100.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Вместе с тем, как указывалось ранее участником закупки предложен в качестве товар с РУ:ФСР </w:t>
      </w:r>
      <w:r>
        <w:rPr>
          <w:rStyle w:val="CharStyle18"/>
          <w:lang w:val="en-US" w:eastAsia="en-US"/>
        </w:rPr>
        <w:t xml:space="preserve">2010/06648, </w:t>
      </w:r>
      <w:r>
        <w:rPr>
          <w:rStyle w:val="CharStyle18"/>
        </w:rPr>
        <w:t>в то время как предмет закупки «Набор для лапароскопических хирургических процедур, не содержащий лекарственные средства, многоразового использования».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>Доказательств того, что предлагаемый заявителем товар соответствует предмету закупки заявитель не привел.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Из РУ:ФСР </w:t>
      </w:r>
      <w:r>
        <w:rPr>
          <w:rStyle w:val="CharStyle18"/>
          <w:lang w:val="en-US" w:eastAsia="en-US"/>
        </w:rPr>
        <w:t xml:space="preserve">2010/06648 </w:t>
      </w:r>
      <w:r>
        <w:rPr>
          <w:rStyle w:val="CharStyle18"/>
        </w:rPr>
        <w:t>и инструкции к нему так же не следует, что предложенный заявителем набор «хирургических эндоскопических инструментов» соответствует предмету закупки «набора для лапароскопических хирургических процедур».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>Следовательно заявка подлежала отклонению поскольку предложенное изделие не соответствовало объекту закупки, указанному в извещении и документации.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На основании вышеизложенного, Комиссия Управления приходит к выводу, что действия комиссии по осуществлению закупок Заказчика, выразившиеся в части правомерного отклонения заявки не нарушает не нарушают Закона о контрактной системе, </w:t>
      </w:r>
      <w:r>
        <w:rPr>
          <w:rStyle w:val="CharStyle18"/>
          <w:b/>
          <w:bCs/>
        </w:rPr>
        <w:t>в связи с чем довод Заявителя является необоснованным.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Вместе с тем, согласно пункту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 установлено, что протокол подведения итогов определения поставщика (подрядчика, исполнителя) должен содержать следующую информацию: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позднее даты подведения итогов определения поставщика (подрядчика, исполнителя), установленной в извещении об осуществлении закупки: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8"/>
          <w:lang w:val="en-US" w:eastAsia="en-US"/>
        </w:rPr>
        <w:t xml:space="preserve">1, 2, 4 - 7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Как указывалось ранее отклонение заявки по несоответствию кода НКМИ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>неправомерно, а решение об отклонении заявки по своей сути верно.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Следовательно приведенное комиссией заказчика обоснование в протоколе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08.05.2026 </w:t>
      </w:r>
      <w:r>
        <w:rPr>
          <w:rStyle w:val="CharStyle18"/>
        </w:rPr>
        <w:t>№ИЭА1 несостоятельно, в связи с чем он подлежит изменению.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Таким образом довод заявителя в части проведения в проколе неправомерного обоснования отклонения заявки является обоснованным, и как следствие в действиях заказчика имеется нарушения пункта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На основании вышеизложенного, в действиях Заказчика выявлены нарушения пункта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8"/>
        </w:rPr>
        <w:t>На основании вышеизложенного, Комиссия Управления решила выдать обязательное для исполнения предписание.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8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системе, Комиссия Управления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8"/>
          <w:b/>
          <w:bCs/>
        </w:rPr>
        <w:t>РЕШИЛА: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8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Признать жалобу ООО «Аллэндо» </w:t>
      </w:r>
      <w:r>
        <w:rPr>
          <w:rStyle w:val="CharStyle18"/>
          <w:lang w:val="en-US" w:eastAsia="en-US"/>
        </w:rPr>
        <w:t xml:space="preserve">№ 5395/26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13.05.2026, </w:t>
      </w:r>
      <w:r>
        <w:rPr>
          <w:rStyle w:val="CharStyle18"/>
        </w:rPr>
        <w:t xml:space="preserve">на действия Заказчика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Югры «Центр лекарственного мониторинга», при проведении электронного аукциона, предметом которого является «Поставка медицинских изделий: Набор для лапароскопических хирургических процедур, не содержащий лекарственные средства, многоразового использования для оснащения (дооснащения) детских больниц в рамках регионального проекта «Охрана материнства и детства»» (извещение </w:t>
      </w:r>
      <w:r>
        <w:rPr>
          <w:rStyle w:val="CharStyle18"/>
          <w:lang w:val="en-US" w:eastAsia="en-US"/>
        </w:rPr>
        <w:t xml:space="preserve">№ 0387200009126001769) </w:t>
      </w:r>
      <w:r>
        <w:rPr>
          <w:rStyle w:val="CharStyle18"/>
        </w:rPr>
        <w:t>частично обоснованной.</w:t>
      </w:r>
    </w:p>
    <w:p>
      <w:pPr>
        <w:pStyle w:val="Style1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177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>необоснованный;</w:t>
      </w:r>
    </w:p>
    <w:p>
      <w:pPr>
        <w:pStyle w:val="Style1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177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. </w:t>
      </w:r>
      <w:r>
        <w:rPr>
          <w:rStyle w:val="CharStyle18"/>
        </w:rPr>
        <w:t>обоснованный.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3" w:val="left"/>
        </w:tabs>
        <w:bidi w:val="0"/>
        <w:spacing w:before="0" w:after="280"/>
        <w:ind w:left="0" w:right="0" w:firstLine="720"/>
        <w:jc w:val="both"/>
      </w:pPr>
      <w:r>
        <w:rPr>
          <w:rStyle w:val="CharStyle18"/>
        </w:rPr>
        <w:t xml:space="preserve">Признать в действиях Заказчика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Югры «Центр лекарственного мониторинга» нарушение положений пункта </w:t>
      </w:r>
      <w:r>
        <w:rPr>
          <w:rStyle w:val="CharStyle18"/>
          <w:lang w:val="en-US" w:eastAsia="en-US"/>
        </w:rPr>
        <w:t>2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09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>Выдать обязательное для исполнения предписание.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8"/>
          <w:lang w:val="en-US" w:eastAsia="en-US"/>
        </w:rPr>
        <w:t>(</w:t>
      </w:r>
      <w:r>
        <w:rPr>
          <w:rStyle w:val="CharStyle18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>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right="541" w:bottom="1225" w:left="11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2542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317500</wp:posOffset>
                </wp:positionV>
                <wp:extent cx="1569720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5.pt;width:123.60000000000001pt;height:17.300000000000001pt;z-index:-125829374;mso-wrap-distance-left:0;mso-wrap-distance-top:25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4180" distB="0" distL="0" distR="1776730" simplePos="0" relativeHeight="125829381" behindDoc="0" locked="0" layoutInCell="1" allowOverlap="1">
            <wp:simplePos x="0" y="0"/>
            <wp:positionH relativeFrom="page">
              <wp:posOffset>2711450</wp:posOffset>
            </wp:positionH>
            <wp:positionV relativeFrom="paragraph">
              <wp:posOffset>424180</wp:posOffset>
            </wp:positionV>
            <wp:extent cx="286385" cy="34163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8638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3089275</wp:posOffset>
                </wp:positionH>
                <wp:positionV relativeFrom="paragraph">
                  <wp:posOffset>485140</wp:posOffset>
                </wp:positionV>
                <wp:extent cx="1685290" cy="2527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5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3.25pt;margin-top:38.200000000000003pt;width:132.69999999999999pt;height:19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25425" distL="0" distR="0" simplePos="0" relativeHeight="125829382" behindDoc="0" locked="0" layoutInCell="1" allowOverlap="1">
                <wp:simplePos x="0" y="0"/>
                <wp:positionH relativeFrom="page">
                  <wp:posOffset>6384290</wp:posOffset>
                </wp:positionH>
                <wp:positionV relativeFrom="paragraph">
                  <wp:posOffset>317500</wp:posOffset>
                </wp:positionV>
                <wp:extent cx="80137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2.69999999999999pt;margin-top:25.pt;width:63.100000000000001pt;height:17.300000000000001pt;z-index:-125829371;mso-wrap-distance-left:0;mso-wrap-distance-top:25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rStyle w:val="CharStyle31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  <w:sz w:val="11"/>
          <w:szCs w:val="11"/>
        </w:rPr>
        <w:t>Бочков Сергей Александрович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Сертификат </w:t>
      </w:r>
      <w:r>
        <w:rPr>
          <w:rStyle w:val="CharStyle33"/>
          <w:color w:val="2B2B2B"/>
        </w:rPr>
        <w:t xml:space="preserve">№ </w:t>
      </w:r>
      <w:r>
        <w:rPr>
          <w:rStyle w:val="CharStyle33"/>
          <w:lang w:val="en-US" w:eastAsia="en-US"/>
        </w:rPr>
        <w:t>3594F9724E4D48CCCC80D14CBA75D809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3"/>
        </w:rPr>
        <w:t xml:space="preserve">Действителен </w:t>
      </w:r>
      <w:r>
        <w:rPr>
          <w:rStyle w:val="CharStyle33"/>
          <w:color w:val="595959"/>
        </w:rPr>
        <w:t xml:space="preserve">с </w:t>
      </w:r>
      <w:r>
        <w:rPr>
          <w:rStyle w:val="CharStyle33"/>
        </w:rPr>
        <w:t xml:space="preserve">18.02.2026 </w:t>
      </w:r>
      <w:r>
        <w:rPr>
          <w:rStyle w:val="CharStyle33"/>
          <w:color w:val="595959"/>
        </w:rPr>
        <w:t>по 14.05.2027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7366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0185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146175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10.pt;width:90.25pt;height:17.300000000000001pt;z-index:-125829369;mso-wrap-distance-left:0;mso-wrap-distance-top:10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5265" distB="0" distL="0" distR="1783080" simplePos="0" relativeHeight="125829386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215265</wp:posOffset>
            </wp:positionV>
            <wp:extent cx="292735" cy="34163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273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paragraph">
                  <wp:posOffset>279400</wp:posOffset>
                </wp:positionV>
                <wp:extent cx="1691640" cy="2527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59999999999999pt;margin-top:22.pt;width:133.19999999999999pt;height:19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0185" distL="0" distR="0" simplePos="0" relativeHeight="125829387" behindDoc="0" locked="0" layoutInCell="1" allowOverlap="1">
                <wp:simplePos x="0" y="0"/>
                <wp:positionH relativeFrom="page">
                  <wp:posOffset>6104255</wp:posOffset>
                </wp:positionH>
                <wp:positionV relativeFrom="paragraph">
                  <wp:posOffset>127000</wp:posOffset>
                </wp:positionV>
                <wp:extent cx="1085215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Л.Г. Галиуллина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65000000000003pt;margin-top:10.pt;width:85.450000000000003pt;height:17.300000000000001pt;z-index:-125829366;mso-wrap-distance-left:0;mso-wrap-distance-top:10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Л.Г. Галиуллина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rStyle w:val="CharStyle31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3"/>
        </w:rPr>
        <w:t xml:space="preserve">Кому выдан: </w:t>
      </w:r>
      <w:r>
        <w:rPr>
          <w:rStyle w:val="CharStyle33"/>
          <w:color w:val="000000"/>
          <w:sz w:val="11"/>
          <w:szCs w:val="11"/>
        </w:rPr>
        <w:t>Галиуллина Лиана Галеевна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33"/>
        </w:rPr>
        <w:t>Сертификат № 2320401</w:t>
      </w:r>
      <w:r>
        <w:rPr>
          <w:rStyle w:val="CharStyle33"/>
          <w:lang w:val="en-US" w:eastAsia="en-US"/>
        </w:rPr>
        <w:t>DA93DA6DD01D9B3601DF21DBE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100" w:right="0" w:firstLine="0"/>
        <w:jc w:val="left"/>
      </w:pPr>
      <w:r>
        <w:rPr>
          <w:rStyle w:val="CharStyle33"/>
        </w:rPr>
        <w:t xml:space="preserve">Действителен </w:t>
      </w:r>
      <w:r>
        <w:rPr>
          <w:rStyle w:val="CharStyle33"/>
          <w:color w:val="595959"/>
        </w:rPr>
        <w:t xml:space="preserve">с </w:t>
      </w:r>
      <w:r>
        <w:rPr>
          <w:rStyle w:val="CharStyle33"/>
        </w:rPr>
        <w:t xml:space="preserve">25.06.2025 </w:t>
      </w:r>
      <w:r>
        <w:rPr>
          <w:rStyle w:val="CharStyle33"/>
          <w:color w:val="595959"/>
        </w:rPr>
        <w:t xml:space="preserve">по </w:t>
      </w:r>
      <w:r>
        <w:rPr>
          <w:rStyle w:val="CharStyle33"/>
        </w:rPr>
        <w:t>18.09.2026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50" w:line="240" w:lineRule="auto"/>
        <w:ind w:left="1960" w:right="0" w:firstLine="0"/>
        <w:jc w:val="left"/>
      </w:pPr>
      <w:r>
        <w:drawing>
          <wp:anchor distT="0" distB="0" distL="114300" distR="1854835" simplePos="0" relativeHeight="125829389" behindDoc="0" locked="0" layoutInCell="1" allowOverlap="1">
            <wp:simplePos x="0" y="0"/>
            <wp:positionH relativeFrom="page">
              <wp:posOffset>2729865</wp:posOffset>
            </wp:positionH>
            <wp:positionV relativeFrom="paragraph">
              <wp:posOffset>114300</wp:posOffset>
            </wp:positionV>
            <wp:extent cx="280670" cy="33528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8067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3098800</wp:posOffset>
                </wp:positionH>
                <wp:positionV relativeFrom="paragraph">
                  <wp:posOffset>175260</wp:posOffset>
                </wp:positionV>
                <wp:extent cx="1652270" cy="24701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5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5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4.pt;margin-top:13.800000000000001pt;width:130.09999999999999pt;height:19.4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5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5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О.Н. Михайлова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31"/>
          <w:sz w:val="11"/>
          <w:szCs w:val="11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rStyle w:val="CharStyle33"/>
        </w:rPr>
        <w:t xml:space="preserve">Кому выдач </w:t>
      </w:r>
      <w:r>
        <w:rPr>
          <w:rStyle w:val="CharStyle33"/>
          <w:color w:val="000000"/>
          <w:sz w:val="11"/>
          <w:szCs w:val="11"/>
        </w:rPr>
        <w:t>Михайлова Ольга Николаевна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rStyle w:val="CharStyle33"/>
        </w:rPr>
        <w:t xml:space="preserve">Сертификат № </w:t>
      </w:r>
      <w:r>
        <w:rPr>
          <w:rStyle w:val="CharStyle33"/>
          <w:lang w:val="en-US" w:eastAsia="en-US"/>
        </w:rPr>
        <w:t>00BF196A4D686B13EAB643D2586BD99680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160" w:right="0" w:firstLine="0"/>
        <w:jc w:val="left"/>
      </w:pPr>
      <w:r>
        <w:rPr>
          <w:rStyle w:val="CharStyle33"/>
        </w:rPr>
        <w:t>Действителен с 04.04.2025 по 28.06.2026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7122160</wp:posOffset>
              </wp:positionH>
              <wp:positionV relativeFrom="page">
                <wp:posOffset>10075545</wp:posOffset>
              </wp:positionV>
              <wp:extent cx="79375" cy="63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6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en-US" w:eastAsia="en-US"/>
                            </w:rPr>
                            <w:t>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0.80000000000007pt;margin-top:793.35000000000002pt;width:6.25pt;height:0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en-US" w:eastAsia="en-US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2026-3943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2026-3943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1">
    <w:name w:val="Body text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3">
    <w:name w:val="Body text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  <w:spacing w:line="25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spacing w:after="20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0">
    <w:name w:val="Body text (4)"/>
    <w:basedOn w:val="Normal"/>
    <w:link w:val="CharStyle31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2">
    <w:name w:val="Body text (2)"/>
    <w:basedOn w:val="Normal"/>
    <w:link w:val="CharStyle33"/>
    <w:pPr>
      <w:widowControl w:val="0"/>
      <w:shd w:val="clear" w:color="auto" w:fill="auto"/>
      <w:ind w:left="3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