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1780540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21611/26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99999999999999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21611/26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54000" distB="0" distL="114300" distR="114300" simplePos="0" relativeHeight="125829381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ФГБУ «НМИЦ РК»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"mailto:DubrovaYV@nmicrk.ru" </w:instrText>
      </w:r>
      <w:r>
        <w:fldChar w:fldCharType="separate"/>
      </w:r>
      <w:r>
        <w:rPr>
          <w:rStyle w:val="CharStyle7"/>
          <w:lang w:val="en-US" w:eastAsia="en-US"/>
        </w:rPr>
        <w:t>DubrovaYV@nmicrk.ru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ООО «Квазар»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1140" w:right="0" w:firstLine="0"/>
        <w:jc w:val="both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7"/>
          <w:lang w:val="en-US" w:eastAsia="en-US"/>
        </w:rPr>
        <w:t>info@kvazar.ooo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077/06/105-6272/2026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19.05.2026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«НМИЦ РК» Минздрава России: О.В. Балашовой (по дов. </w:t>
      </w:r>
      <w:r>
        <w:rPr>
          <w:rStyle w:val="CharStyle7"/>
          <w:lang w:val="en-US" w:eastAsia="en-US"/>
        </w:rPr>
        <w:t xml:space="preserve">№183/2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09.12.2025),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«Квазар»: А.А. Габдулхаевой (по дов. </w:t>
      </w:r>
      <w:r>
        <w:rPr>
          <w:rStyle w:val="CharStyle7"/>
          <w:lang w:val="en-US" w:eastAsia="en-US"/>
        </w:rPr>
        <w:t xml:space="preserve">№5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11.03.2026),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«Квазар»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ФГБУ «НМИЦ РК» Минздрава России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оригинальных расходных материалов для печатающей техники ФГБУ «НМИЦ РК» Минздрава России (Закупка </w:t>
      </w:r>
      <w:r>
        <w:rPr>
          <w:rStyle w:val="CharStyle7"/>
          <w:lang w:val="en-US" w:eastAsia="en-US"/>
        </w:rPr>
        <w:t>№</w:t>
        <w:tab/>
        <w:t xml:space="preserve">0373100108126000161)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>—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lang w:val="en-US" w:eastAsia="en-US"/>
        </w:rPr>
        <w:t xml:space="preserve">1. </w:t>
      </w:r>
      <w:r>
        <w:rPr>
          <w:rStyle w:val="CharStyle7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ОКПД2) </w:t>
      </w:r>
      <w:r>
        <w:rPr>
          <w:rStyle w:val="CharStyle7"/>
          <w:lang w:val="en-US" w:eastAsia="en-US"/>
        </w:rPr>
        <w:t xml:space="preserve">28.23.26.000 </w:t>
      </w:r>
      <w:r>
        <w:rPr>
          <w:rStyle w:val="CharStyle7"/>
        </w:rPr>
        <w:t>«Части и принадлежности прочих офисных машин».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По мнению Заявителя, отраженного в составе жалобы, наиболее соответствующим коду ОКПД2 закупаемым товарам является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00" w:right="538" w:bottom="817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соответствии с пп. «д»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</w:t>
      </w:r>
      <w:r>
        <w:rPr>
          <w:rStyle w:val="CharStyle7"/>
          <w:sz w:val="24"/>
          <w:szCs w:val="24"/>
          <w:lang w:val="en-US" w:eastAsia="en-US"/>
        </w:rPr>
        <w:t>2026-24734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>2008)».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Комиссией Управления установлено, что согласно описанию объекта закупки Заказчиком закупаются расходные материалы, например: «Картридж Тип </w:t>
      </w:r>
      <w:r>
        <w:rPr>
          <w:rStyle w:val="CharStyle7"/>
          <w:lang w:val="en-US" w:eastAsia="en-US"/>
        </w:rPr>
        <w:t xml:space="preserve">43», </w:t>
      </w:r>
      <w:r>
        <w:rPr>
          <w:rStyle w:val="CharStyle7"/>
        </w:rPr>
        <w:t xml:space="preserve">выбран код ОКПД2 </w:t>
      </w:r>
      <w:r>
        <w:rPr>
          <w:rStyle w:val="CharStyle7"/>
          <w:lang w:val="en-US" w:eastAsia="en-US"/>
        </w:rPr>
        <w:t xml:space="preserve">28.23.26.000, </w:t>
      </w:r>
      <w:r>
        <w:rPr>
          <w:rStyle w:val="CharStyle7"/>
        </w:rPr>
        <w:t xml:space="preserve">при этом в отношении закупаемых товаров Заказчиком установлено преимущество закупок товаров, происходящих из иностранных государств, предусмотренных Постановлением </w:t>
      </w:r>
      <w:r>
        <w:rPr>
          <w:rStyle w:val="CharStyle7"/>
          <w:lang w:val="en-US" w:eastAsia="en-US"/>
        </w:rPr>
        <w:t>№1875</w:t>
      </w:r>
      <w:r>
        <w:rPr>
          <w:rStyle w:val="CharStyle7"/>
          <w:color w:val="C9211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Заказчик самостоятельно определяет код ОКПД2, соотнося объект закупки с соответствующей позицией классификатора. Код ОКПД2 не является функциональной, технической или качественной характеристикой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Предложенный Заявителем код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 xml:space="preserve">не включает описание картриджей для лазерных принтеров, тогда как объект закупки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именно лазерная печатающая техника.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Код </w:t>
      </w:r>
      <w:r>
        <w:rPr>
          <w:rStyle w:val="CharStyle7"/>
          <w:lang w:val="en-US" w:eastAsia="en-US"/>
        </w:rPr>
        <w:t xml:space="preserve">28.23.26.000 </w:t>
      </w:r>
      <w:r>
        <w:rPr>
          <w:rStyle w:val="CharStyle7"/>
        </w:rPr>
        <w:t xml:space="preserve">не входит в приложения 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в связи с чем Заказчик правомерно установил преимущества для товаров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принятия решения Комиссии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 При этом заказчик самостоятельно определяет код ОКПД2 как наиболее подходящий объекту закупки, исходя из собственных потребностей и особенностей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Комиссией Управления установлено, что Заказчиком приобретаются картриджи, в том числе картриджи для печатающих устройств с лазерной технологией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принятии решения Комиссия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Вместе с тем Комиссия Управления отмечает, что в классификаторе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ОКПД2 присутствует следующее детализирующее пояснение кода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«Эта группировка в том числе включает: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1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Таким образом,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 xml:space="preserve">«Элементы замены типовые устройств ввода и вывода», соответствует картриджам для струйных, каплеструйных и сублимационных многофункциональных печатающих устройств, что не соответствует картриджам с лазерной технологией печати, для которых наиболее соответствующим кодом является код ОКПД2 </w:t>
      </w:r>
      <w:r>
        <w:rPr>
          <w:rStyle w:val="CharStyle7"/>
          <w:lang w:val="en-US" w:eastAsia="en-US"/>
        </w:rPr>
        <w:t xml:space="preserve">28.23.26.000, </w:t>
      </w:r>
      <w:r>
        <w:rPr>
          <w:rStyle w:val="CharStyle7"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lang w:val="en-US" w:eastAsia="en-US"/>
        </w:rPr>
        <w:t xml:space="preserve">2. </w:t>
      </w:r>
      <w:r>
        <w:rPr>
          <w:rStyle w:val="CharStyle7"/>
        </w:rPr>
        <w:t xml:space="preserve">Более того, Заявитель указывает, что Заказчиком в извещении об осуществлении закупки неправомерно установлено требование о поставке исключительно оригинальных товаров без возможности поставки эквивалентной продукции, что также влечет за собой невозможное применение защитных мер,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 1875).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68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6" w:bottom="591" w:left="109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соответствии с п.1 ч.1 ст.33 Закона о контрактной системе в описании </w:t>
      </w:r>
      <w:r>
        <w:rPr>
          <w:rStyle w:val="CharStyle7"/>
          <w:sz w:val="24"/>
          <w:szCs w:val="24"/>
          <w:lang w:val="en-US" w:eastAsia="en-US"/>
        </w:rPr>
        <w:t>2026-24734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согласно извещению об осуществлении закупки, Заказчиком установлены следующие требования к закупаемым товарам, например по позиции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«Картридж Тип </w:t>
      </w:r>
      <w:r>
        <w:rPr>
          <w:rStyle w:val="CharStyle7"/>
          <w:lang w:val="en-US" w:eastAsia="en-US"/>
        </w:rPr>
        <w:t xml:space="preserve">43», </w:t>
      </w:r>
      <w:r>
        <w:rPr>
          <w:rStyle w:val="CharStyle7"/>
        </w:rPr>
        <w:t xml:space="preserve">идентификатор </w:t>
      </w:r>
      <w:r>
        <w:rPr>
          <w:rStyle w:val="CharStyle7"/>
          <w:lang w:val="en-US" w:eastAsia="en-US"/>
        </w:rPr>
        <w:t xml:space="preserve">213600873: </w:t>
      </w:r>
      <w:r>
        <w:rPr>
          <w:rStyle w:val="CharStyle7"/>
        </w:rPr>
        <w:t xml:space="preserve">«Совместимость с принтерами: Катюша </w:t>
      </w:r>
      <w:r>
        <w:rPr>
          <w:rStyle w:val="CharStyle7"/>
          <w:lang w:val="en-US" w:eastAsia="en-US"/>
        </w:rPr>
        <w:t xml:space="preserve">P247/M247», </w:t>
      </w:r>
      <w:r>
        <w:rPr>
          <w:rStyle w:val="CharStyle7"/>
        </w:rPr>
        <w:t xml:space="preserve">«Оригинальный картридж: ДА»; по позиции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«Картридж Тип </w:t>
      </w:r>
      <w:r>
        <w:rPr>
          <w:rStyle w:val="CharStyle7"/>
          <w:lang w:val="en-US" w:eastAsia="en-US"/>
        </w:rPr>
        <w:t xml:space="preserve">55», </w:t>
      </w:r>
      <w:r>
        <w:rPr>
          <w:rStyle w:val="CharStyle7"/>
        </w:rPr>
        <w:t xml:space="preserve">идентификатор </w:t>
      </w:r>
      <w:r>
        <w:rPr>
          <w:rStyle w:val="CharStyle7"/>
          <w:lang w:val="en-US" w:eastAsia="en-US"/>
        </w:rPr>
        <w:t xml:space="preserve">213600877 </w:t>
      </w:r>
      <w:r>
        <w:rPr>
          <w:rStyle w:val="CharStyle7"/>
        </w:rPr>
        <w:t xml:space="preserve">«Совместимость с принтерами: МФУ </w:t>
      </w:r>
      <w:r>
        <w:rPr>
          <w:rStyle w:val="CharStyle7"/>
          <w:lang w:val="en-US" w:eastAsia="en-US"/>
        </w:rPr>
        <w:t xml:space="preserve">Sindoh D330e/D332e», </w:t>
      </w:r>
      <w:r>
        <w:rPr>
          <w:rStyle w:val="CharStyle7"/>
        </w:rPr>
        <w:t>«Оригинальный картридж: 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Пп.«б» п.6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ограничение, предусмотренное п.1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пп.«б» п.6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не применяются при осуществлении закупок товаров, указанных в приложении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и являющихся расходными материалами, комплектующими,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0"/>
        <w:jc w:val="both"/>
      </w:pPr>
      <w:r>
        <w:rPr>
          <w:rStyle w:val="CharStyle7"/>
        </w:rPr>
        <w:t>принадлежностями к медицинским изделиям.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 в извещении об осуществлении закупки Заказчиком установлено преимущество, предусмотренное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этом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силу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 допускается указание на товарный знак при закупке расходных материалов к оборудованию, используемому заказчиком, в соответствии с технической документацией на такое оборудование.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Закупаемое оборудование находится на гарантии. Согласно руководствам пользователя производителей «Катюша», </w:t>
      </w:r>
      <w:r>
        <w:rPr>
          <w:rStyle w:val="CharStyle7"/>
          <w:lang w:val="en-US" w:eastAsia="en-US"/>
        </w:rPr>
        <w:t xml:space="preserve">«Sindoh» </w:t>
      </w:r>
      <w:r>
        <w:rPr>
          <w:rStyle w:val="CharStyle7"/>
        </w:rPr>
        <w:t>использование оригинальных расходных материалов является обязательным условием сохранения гарантийных обязательств, использование неоригинальных материалов запрещено и влечёт снятие с гарантии.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обоснование своей позиции, представитель Заказчика предоставил следующие документы: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Гарантийный талон на МФУ Катюша М247 в которой указана дата начала гарантии, а именно </w:t>
      </w:r>
      <w:r>
        <w:rPr>
          <w:rStyle w:val="CharStyle7"/>
          <w:lang w:val="en-US" w:eastAsia="en-US"/>
        </w:rPr>
        <w:t xml:space="preserve">16.10.2023, </w:t>
      </w:r>
      <w:r>
        <w:rPr>
          <w:rStyle w:val="CharStyle7"/>
        </w:rPr>
        <w:t xml:space="preserve">а также срок гарантии в </w:t>
      </w:r>
      <w:r>
        <w:rPr>
          <w:rStyle w:val="CharStyle7"/>
          <w:lang w:val="en-US" w:eastAsia="en-US"/>
        </w:rPr>
        <w:t xml:space="preserve">36 </w:t>
      </w:r>
      <w:r>
        <w:rPr>
          <w:rStyle w:val="CharStyle7"/>
        </w:rPr>
        <w:t>месяцев;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Информационное письмо от 16.10.2025г. на МФУ </w:t>
      </w:r>
      <w:r>
        <w:rPr>
          <w:rStyle w:val="CharStyle7"/>
          <w:lang w:val="en-US" w:eastAsia="en-US"/>
        </w:rPr>
        <w:t xml:space="preserve">Sindoh C300, </w:t>
      </w:r>
      <w:r>
        <w:rPr>
          <w:rStyle w:val="CharStyle7"/>
        </w:rPr>
        <w:t xml:space="preserve">в которой указана дата начала гарантии, а именно </w:t>
      </w:r>
      <w:r>
        <w:rPr>
          <w:rStyle w:val="CharStyle7"/>
          <w:lang w:val="en-US" w:eastAsia="en-US"/>
        </w:rPr>
        <w:t xml:space="preserve">01.01.2023, </w:t>
      </w:r>
      <w:r>
        <w:rPr>
          <w:rStyle w:val="CharStyle7"/>
        </w:rPr>
        <w:t xml:space="preserve">а также срок гарантии в </w:t>
      </w:r>
      <w:r>
        <w:rPr>
          <w:rStyle w:val="CharStyle7"/>
          <w:lang w:val="en-US" w:eastAsia="en-US"/>
        </w:rPr>
        <w:t xml:space="preserve">36 </w:t>
      </w:r>
      <w:r>
        <w:rPr>
          <w:rStyle w:val="CharStyle7"/>
        </w:rPr>
        <w:t>месяцев;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Инвентарные карточки учета нефинансовых активов на МФУ;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Документ о приемке </w:t>
      </w:r>
      <w:r>
        <w:rPr>
          <w:rStyle w:val="CharStyle7"/>
          <w:lang w:val="en-US" w:eastAsia="en-US"/>
        </w:rPr>
        <w:t xml:space="preserve">№119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16.12.2024 </w:t>
      </w:r>
      <w:r>
        <w:rPr>
          <w:rStyle w:val="CharStyle7"/>
        </w:rPr>
        <w:t>на МФУ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в данном случае речь идёт не о фактической совместимости или несовместимости оборудования Заказчика и расходных материалов сторонних производителей, а о потребности Заказчика в оригинальных расходных материалах, для сохранении гарантии на имеющееся у него оборудование.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Таким образом, в случае неисправности оборудования Заказчика по причине использования расходных материалов иных производителей Заказчик будет лишён права бесплатного ремонта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Из совокупности положений Закона о контрактной системе следует, что установление требований к техническим, функциональным характеристикам </w:t>
      </w:r>
      <w:r>
        <w:rPr>
          <w:rStyle w:val="CharStyle7"/>
          <w:sz w:val="24"/>
          <w:szCs w:val="24"/>
          <w:lang w:val="en-US" w:eastAsia="en-US"/>
        </w:rPr>
        <w:t>2026-24734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40"/>
        <w:jc w:val="left"/>
      </w:pPr>
      <w:r>
        <w:rPr>
          <w:rStyle w:val="CharStyle7"/>
        </w:rPr>
        <w:t>.Признать жалобу ООО «Квазар» на действия ФГБУ «НМИЦ РК»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63" w:val="left"/>
        </w:tabs>
        <w:bidi w:val="0"/>
        <w:spacing w:before="0" w:after="240" w:line="240" w:lineRule="auto"/>
        <w:ind w:left="0" w:right="0" w:firstLine="640"/>
        <w:jc w:val="left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9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9"/>
          <w:lang w:val="en-US" w:eastAsia="en-US"/>
        </w:rPr>
        <w:t xml:space="preserve">24 </w:t>
      </w:r>
      <w:r>
        <w:rPr>
          <w:rStyle w:val="CharStyle19"/>
        </w:rPr>
        <w:t xml:space="preserve">АПК РФ, в течение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02" w:right="532" w:bottom="205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1653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58.pt;width:145.20000000000002pt;height:19.900000000000002pt;z-index:-125829371;mso-wrap-distance-left:0;mso-wrap-distance-top:58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809625</wp:posOffset>
            </wp:positionV>
            <wp:extent cx="359410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80000000000001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16535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736600</wp:posOffset>
                </wp:positionV>
                <wp:extent cx="130746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5.25pt;margin-top:58.pt;width:102.95pt;height:19.900000000000002pt;z-index:-125829368;mso-wrap-distance-left:0;mso-wrap-distance-top:58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67950889C45403E5BD9EBC88A8D80C0D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3"/>
        </w:rPr>
        <w:t xml:space="preserve">Действителен с 19.05.2025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6EBF6CE6C27B6345D47DBCD40C7FA5FD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3"/>
        </w:rPr>
        <w:t xml:space="preserve">Действителен с 19.09.2025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13.12.2026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340" w:line="266" w:lineRule="auto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06.03.2027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9"/>
          <w:sz w:val="22"/>
          <w:szCs w:val="22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2" w:right="532" w:bottom="140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9.5pt;width:57.3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10238740</wp:posOffset>
              </wp:positionV>
              <wp:extent cx="7315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450000000000003pt;margin-top:806.20000000000005pt;width:57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9.5pt;width:57.3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10153650</wp:posOffset>
              </wp:positionV>
              <wp:extent cx="72834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9.5pt;width:57.3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424180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5000000000003pt;margin-top:33.39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25pt;width:5.75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25pt;width:5.75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9999999999999pt;margin-top:37.25pt;width:5.75pt;height:9.59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50"/>
      <w:ind w:firstLine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