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4070350</wp:posOffset>
                </wp:positionH>
                <wp:positionV relativeFrom="paragraph">
                  <wp:posOffset>551815</wp:posOffset>
                </wp:positionV>
                <wp:extent cx="1353185" cy="147828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3185" cy="147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РАН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"mailto:zakupran@pran.ru"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zakupran@pran.ru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ООО «Квазар»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"mailto:info@kvazar.ooo"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info@kvazar.ooo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0.5pt;margin-top:43.450000000000003pt;width:106.55pt;height:116.4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РАН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"mailto:zakupran@pran.ru"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zakupran@pran.ru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ООО «Квазар»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"mailto:info@kvazar.ooo"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info@kvazar.ooo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500" w:right="0" w:firstLine="860"/>
        <w:jc w:val="both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320" w:right="0" w:firstLine="0"/>
        <w:jc w:val="both"/>
      </w:pPr>
      <w:r>
        <w:rPr>
          <w:rStyle w:val="CharStyle5"/>
          <w:b/>
          <w:bCs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540" w:right="0" w:firstLine="0"/>
        <w:jc w:val="both"/>
      </w:pPr>
      <w:r>
        <w:rPr>
          <w:rStyle w:val="CharStyle5"/>
          <w:b/>
          <w:bCs/>
        </w:rPr>
        <w:t>по г. Москве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5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5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5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8"/>
        <w:keepNext/>
        <w:keepLines/>
        <w:widowControl w:val="0"/>
        <w:shd w:val="clear" w:color="auto" w:fill="auto"/>
        <w:tabs>
          <w:tab w:pos="2003" w:val="left"/>
        </w:tabs>
        <w:bidi w:val="0"/>
        <w:spacing w:before="0" w:line="240" w:lineRule="auto"/>
        <w:ind w:left="0" w:right="0"/>
        <w:jc w:val="both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9"/>
        </w:rPr>
        <w:t>21.05.2026</w:t>
      </w:r>
      <w:r>
        <w:fldChar w:fldCharType="end"/>
      </w:r>
      <w:r>
        <w:rPr>
          <w:rStyle w:val="CharStyle9"/>
        </w:rPr>
        <w:tab/>
        <w:t>№ 21897/26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 xml:space="preserve">по делу </w:t>
      </w:r>
      <w:r>
        <w:rPr>
          <w:rStyle w:val="CharStyle3"/>
          <w:b/>
          <w:bCs/>
          <w:lang w:val="en-US" w:eastAsia="en-US"/>
        </w:rPr>
        <w:t xml:space="preserve">№ 077/06/105-6283/2026 </w:t>
      </w:r>
      <w:r>
        <w:rPr>
          <w:rStyle w:val="CharStyle3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3"/>
          <w:b/>
          <w:bCs/>
          <w:lang w:val="en-US" w:eastAsia="en-US"/>
        </w:rPr>
        <w:t>18.05.2026</w:t>
        <w:tab/>
      </w:r>
      <w:r>
        <w:rPr>
          <w:rStyle w:val="CharStyle3"/>
          <w:b/>
          <w:bCs/>
        </w:rPr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Председательствующего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заместителя начальника отдела обжалования государственных закупок Д.С. Грешневой,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Главного специалиста-эксперта отдела обжалования государственных закупок М.О. Мацневой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Специалиста-эксперта отдела обжалования государственных закупок А.С. Гелмутдиновой,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при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РАН: Р.А. Кашубы (по дов. </w:t>
      </w:r>
      <w:r>
        <w:rPr>
          <w:rStyle w:val="CharStyle3"/>
          <w:lang w:val="en-US" w:eastAsia="en-US"/>
        </w:rPr>
        <w:t xml:space="preserve">№2-10001-1615/888 </w:t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 xml:space="preserve">06.06.2026) </w:t>
      </w:r>
      <w:r>
        <w:rPr>
          <w:rStyle w:val="CharStyle3"/>
        </w:rPr>
        <w:t xml:space="preserve">Г.К. Трещилиной </w:t>
      </w:r>
      <w:r>
        <w:rPr>
          <w:rStyle w:val="CharStyle3"/>
          <w:lang w:val="en-US" w:eastAsia="en-US"/>
        </w:rPr>
        <w:t xml:space="preserve">( </w:t>
      </w:r>
      <w:r>
        <w:rPr>
          <w:rStyle w:val="CharStyle3"/>
        </w:rPr>
        <w:t xml:space="preserve">по дов. </w:t>
      </w:r>
      <w:r>
        <w:rPr>
          <w:rStyle w:val="CharStyle3"/>
          <w:lang w:val="en-US" w:eastAsia="en-US"/>
        </w:rPr>
        <w:t xml:space="preserve">№ 2-10001-1615/1879 </w:t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>01.12.2025)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ООО «Квазар»: А.А. Габдулхаевой </w:t>
      </w:r>
      <w:r>
        <w:rPr>
          <w:rStyle w:val="CharStyle3"/>
          <w:lang w:val="en-US" w:eastAsia="en-US"/>
        </w:rPr>
        <w:t xml:space="preserve">( </w:t>
      </w:r>
      <w:r>
        <w:rPr>
          <w:rStyle w:val="CharStyle3"/>
        </w:rPr>
        <w:t xml:space="preserve">по дов. </w:t>
      </w:r>
      <w:r>
        <w:rPr>
          <w:rStyle w:val="CharStyle3"/>
          <w:lang w:val="en-US" w:eastAsia="en-US"/>
        </w:rPr>
        <w:t xml:space="preserve">№ 5 </w:t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>11.03.2026),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ООО «ВЕЛЕС»: Д.В. Черных,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rStyle w:val="CharStyle3"/>
        </w:rPr>
        <w:t xml:space="preserve">рассмотрев жалобу ООО «Квазар»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Заявитель) на действия РАН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Заказчик) при проведении электронного аукциона на право заключения государственного контракта на поставку расходных материалов для полиграфической техники (Закупка </w:t>
      </w:r>
      <w:r>
        <w:rPr>
          <w:rStyle w:val="CharStyle3"/>
          <w:lang w:val="en-US" w:eastAsia="en-US"/>
        </w:rPr>
        <w:t xml:space="preserve">№ 0373100029626000017) </w:t>
      </w:r>
      <w:r>
        <w:rPr>
          <w:rStyle w:val="CharStyle3"/>
        </w:rPr>
        <w:t xml:space="preserve">(далее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 xml:space="preserve">аукцион), в соответствии с Федеральным законом от </w:t>
      </w:r>
      <w:r>
        <w:rPr>
          <w:rStyle w:val="CharStyle3"/>
          <w:lang w:val="en-US" w:eastAsia="en-US"/>
        </w:rPr>
        <w:t xml:space="preserve">05.04.2013 </w:t>
      </w:r>
      <w:r>
        <w:rPr>
          <w:rStyle w:val="CharStyle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</w:pPr>
      <w:r>
        <w:rPr>
          <w:rStyle w:val="CharStyle3"/>
          <w:lang w:val="en-US" w:eastAsia="en-US"/>
        </w:rPr>
        <w:t>IIIIIIIIIIIIIIIIIIIIIIIIIIII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94" w:right="541" w:bottom="294" w:left="111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2"/>
          <w:sz w:val="24"/>
          <w:szCs w:val="24"/>
          <w:lang w:val="en-US" w:eastAsia="en-US"/>
        </w:rPr>
        <w:t>2026-25309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составе жалобы Заявитель указывает, что при формировании извещения Заказчиком выбран неверный код по общероссийскому классификатору продукции по видам экономической деятельности (далее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 xml:space="preserve">ОКПД2) </w:t>
      </w:r>
      <w:r>
        <w:rPr>
          <w:rStyle w:val="CharStyle3"/>
          <w:lang w:val="en-US" w:eastAsia="en-US"/>
        </w:rPr>
        <w:t xml:space="preserve">28.23.25.000 </w:t>
      </w:r>
      <w:r>
        <w:rPr>
          <w:rStyle w:val="CharStyle3"/>
        </w:rPr>
        <w:t>«Части и принадлежности прочих офисных машин».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По мнению Заявителя, отраженного в составе жалобы, наиболее соответствующим коду ОКПД2 закупаемым товарам является код ОКПД2 </w:t>
      </w:r>
      <w:r>
        <w:rPr>
          <w:rStyle w:val="CharStyle3"/>
          <w:lang w:val="en-US" w:eastAsia="en-US"/>
        </w:rPr>
        <w:t xml:space="preserve">26.20.40.120 </w:t>
      </w:r>
      <w:r>
        <w:rPr>
          <w:rStyle w:val="CharStyle3"/>
        </w:rPr>
        <w:t>«Элементы замены типовые устройств ввода и вывода».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При этом Заявитель также указывает, что вышеуказанное нарушение повлекло за собой неправомерное установление преимущества предусмотренного Постановлением Правительства Российской Федерации от </w:t>
      </w:r>
      <w:r>
        <w:rPr>
          <w:rStyle w:val="CharStyle3"/>
          <w:lang w:val="en-US" w:eastAsia="en-US"/>
        </w:rPr>
        <w:t xml:space="preserve">23.12.2024 №1875 </w:t>
      </w:r>
      <w:r>
        <w:rPr>
          <w:rStyle w:val="CharStyle3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 xml:space="preserve">Постановление </w:t>
      </w:r>
      <w:r>
        <w:rPr>
          <w:rStyle w:val="CharStyle3"/>
          <w:lang w:val="en-US" w:eastAsia="en-US"/>
        </w:rPr>
        <w:t>№1875).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 основании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силу ч.2 ст.14 Закона о контрактной системе Правительство Российской Федерации: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479" w:right="541" w:bottom="1210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ч.2 ст.14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П.1 Постановления </w:t>
      </w:r>
      <w:r>
        <w:rPr>
          <w:rStyle w:val="CharStyle3"/>
          <w:lang w:val="en-US" w:eastAsia="en-US"/>
        </w:rPr>
        <w:t xml:space="preserve">№1875 </w:t>
      </w:r>
      <w:r>
        <w:rPr>
          <w:rStyle w:val="CharStyle3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иностранные лица), по перечню согласно приложению </w:t>
      </w:r>
      <w:r>
        <w:rPr>
          <w:rStyle w:val="CharStyle3"/>
          <w:lang w:val="en-US" w:eastAsia="en-US"/>
        </w:rPr>
        <w:t xml:space="preserve">№ 1, </w:t>
      </w:r>
      <w:r>
        <w:rPr>
          <w:rStyle w:val="CharStyle3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2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53" w:left="1106" w:header="0" w:footer="225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</w:t>
      </w:r>
      <w:r>
        <w:rPr>
          <w:rStyle w:val="CharStyle3"/>
          <w:sz w:val="24"/>
          <w:szCs w:val="24"/>
          <w:lang w:val="en-US" w:eastAsia="en-US"/>
        </w:rPr>
        <w:t>2026-25309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3"/>
          <w:lang w:val="en-US" w:eastAsia="en-US"/>
        </w:rPr>
        <w:t>№ 2;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В соответствии с пп. «д» п. </w:t>
      </w:r>
      <w:r>
        <w:rPr>
          <w:rStyle w:val="CharStyle3"/>
          <w:lang w:val="en-US" w:eastAsia="en-US"/>
        </w:rPr>
        <w:t xml:space="preserve">4 </w:t>
      </w:r>
      <w:r>
        <w:rPr>
          <w:rStyle w:val="CharStyle3"/>
        </w:rPr>
        <w:t xml:space="preserve">Постановления </w:t>
      </w:r>
      <w:r>
        <w:rPr>
          <w:rStyle w:val="CharStyle3"/>
          <w:lang w:val="en-US" w:eastAsia="en-US"/>
        </w:rPr>
        <w:t xml:space="preserve">№ 1875 </w:t>
      </w:r>
      <w:r>
        <w:rPr>
          <w:rStyle w:val="CharStyle3"/>
        </w:rPr>
        <w:t xml:space="preserve">позиции приложения </w:t>
      </w:r>
      <w:r>
        <w:rPr>
          <w:rStyle w:val="CharStyle3"/>
          <w:lang w:val="en-US" w:eastAsia="en-US"/>
        </w:rPr>
        <w:t xml:space="preserve">№ 1 </w:t>
      </w:r>
      <w:r>
        <w:rPr>
          <w:rStyle w:val="CharStyle3"/>
        </w:rPr>
        <w:t xml:space="preserve">и приложения </w:t>
      </w:r>
      <w:r>
        <w:rPr>
          <w:rStyle w:val="CharStyle3"/>
          <w:lang w:val="en-US" w:eastAsia="en-US"/>
        </w:rPr>
        <w:t xml:space="preserve">№ 2 </w:t>
      </w:r>
      <w:r>
        <w:rPr>
          <w:rStyle w:val="CharStyle3"/>
        </w:rPr>
        <w:t xml:space="preserve">к данному Постановлению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3"/>
          <w:lang w:val="en-US" w:eastAsia="en-US"/>
        </w:rPr>
        <w:t xml:space="preserve">034-2014 </w:t>
      </w:r>
      <w:r>
        <w:rPr>
          <w:rStyle w:val="CharStyle3"/>
        </w:rPr>
        <w:t xml:space="preserve">(КПЕС </w:t>
      </w:r>
      <w:r>
        <w:rPr>
          <w:rStyle w:val="CharStyle3"/>
          <w:lang w:val="en-US" w:eastAsia="en-US"/>
        </w:rPr>
        <w:t xml:space="preserve">2008)», </w:t>
      </w:r>
      <w:r>
        <w:rPr>
          <w:rStyle w:val="CharStyle3"/>
        </w:rPr>
        <w:t xml:space="preserve">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3"/>
          <w:lang w:val="en-US" w:eastAsia="en-US"/>
        </w:rPr>
        <w:t xml:space="preserve">034-2014 </w:t>
      </w:r>
      <w:r>
        <w:rPr>
          <w:rStyle w:val="CharStyle3"/>
        </w:rPr>
        <w:t xml:space="preserve">(КПЕС </w:t>
      </w:r>
      <w:r>
        <w:rPr>
          <w:rStyle w:val="CharStyle3"/>
          <w:lang w:val="en-US" w:eastAsia="en-US"/>
        </w:rPr>
        <w:t>2008)».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Комиссией Управления установлено, что согласно описанию объекта закупки Заказчиком закупаются расходные материалы, например по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«Картридж для электрографических печатающих устройств Идентификатор: </w:t>
      </w:r>
      <w:r>
        <w:rPr>
          <w:rStyle w:val="CharStyle3"/>
          <w:lang w:val="en-US" w:eastAsia="en-US"/>
        </w:rPr>
        <w:t xml:space="preserve">212196789 </w:t>
      </w:r>
      <w:r>
        <w:rPr>
          <w:rStyle w:val="CharStyle3"/>
        </w:rPr>
        <w:t xml:space="preserve">кода ОКПД2 </w:t>
      </w:r>
      <w:r>
        <w:rPr>
          <w:rStyle w:val="CharStyle3"/>
          <w:lang w:val="en-US" w:eastAsia="en-US"/>
        </w:rPr>
        <w:t xml:space="preserve">28.23.25.000, </w:t>
      </w:r>
      <w:r>
        <w:rPr>
          <w:rStyle w:val="CharStyle3"/>
        </w:rPr>
        <w:t xml:space="preserve">при этом в отношении указанных товаров Заказчиком установлено преимущество закупок товаров, происходящих из иностранных государств, предусмотренных Постановлением </w:t>
      </w:r>
      <w:r>
        <w:rPr>
          <w:rStyle w:val="CharStyle3"/>
          <w:lang w:val="en-US" w:eastAsia="en-US"/>
        </w:rPr>
        <w:t>№1875</w:t>
      </w:r>
      <w:r>
        <w:rPr>
          <w:rStyle w:val="CharStyle3"/>
          <w:color w:val="C9211E"/>
          <w:lang w:val="en-US" w:eastAsia="en-US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На заседании Комиссии Управления представитель Заказчика пояснил, что примененный заказчиком при формировании извещения код ОКПД2 </w:t>
      </w:r>
      <w:r>
        <w:rPr>
          <w:rStyle w:val="CharStyle3"/>
          <w:lang w:val="en-US" w:eastAsia="en-US"/>
        </w:rPr>
        <w:t xml:space="preserve">28.23.25.000 </w:t>
      </w:r>
      <w:r>
        <w:rPr>
          <w:rStyle w:val="CharStyle3"/>
        </w:rPr>
        <w:t xml:space="preserve">«Части и принадлежности прочих офисных машин» не указан в Приложениях </w:t>
      </w:r>
      <w:r>
        <w:rPr>
          <w:rStyle w:val="CharStyle3"/>
          <w:lang w:val="en-US" w:eastAsia="en-US"/>
        </w:rPr>
        <w:t xml:space="preserve">№ 1 </w:t>
      </w:r>
      <w:r>
        <w:rPr>
          <w:rStyle w:val="CharStyle3"/>
        </w:rPr>
        <w:t xml:space="preserve">(«запрет») и </w:t>
      </w:r>
      <w:r>
        <w:rPr>
          <w:rStyle w:val="CharStyle3"/>
          <w:lang w:val="en-US" w:eastAsia="en-US"/>
        </w:rPr>
        <w:t xml:space="preserve">№ 2 </w:t>
      </w:r>
      <w:r>
        <w:rPr>
          <w:rStyle w:val="CharStyle3"/>
        </w:rPr>
        <w:t xml:space="preserve">(«ограничение») Постановления </w:t>
      </w:r>
      <w:r>
        <w:rPr>
          <w:rStyle w:val="CharStyle3"/>
          <w:lang w:val="en-US" w:eastAsia="en-US"/>
        </w:rPr>
        <w:t>№ 1875.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Установленный Заказчиком код позиции ОКПД2 </w:t>
      </w:r>
      <w:r>
        <w:rPr>
          <w:rStyle w:val="CharStyle3"/>
          <w:lang w:val="en-US" w:eastAsia="en-US"/>
        </w:rPr>
        <w:t xml:space="preserve">28.23.25.000 </w:t>
      </w:r>
      <w:r>
        <w:rPr>
          <w:rStyle w:val="CharStyle3"/>
        </w:rPr>
        <w:t>«Части и принадлежности прочих офисных машин» не противоречит потребности Заказчика и соответствует закупаемым товарам.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При принятия решения Комиссии Управления исходит из того, что определение кода ОКПД2 осуществляется заказчиком путем отнесения объекта закупки к соответствующему коду и наименованию позиции ОКПД2 с учетом специфики закупки и детализирующих пояснений к коду ОКПД2. При этом заказчик самостоятельно определяет код ОКПД2 как наиболее подходящий объекту закупки, исходя из собственных потребностей и особенностей деятельности.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При этом Комиссия Управления считает необходимым отметить, что Заказчики самостоятельно определяют код ОКПД2 как наиболее подходящий объекту закупки, исходя из собственных потребностей и особенностей закупаемого товара, работы, услуги.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Комиссией Управления установлено, что Заказчиком приобретаются картриджи, в том числе картриджи для электрографических печатающих устройств.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При принятии решения Комиссия Управления исходит из того, что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определение кода ОКПД2 осуществляется заказчиком путем отнесения объекта закупки к соответствующему коду и наименованию позиции ОКПД2 с учетом специфики закупки и детализирующих пояснений к коду ОКПД2.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</w:rPr>
        <w:t xml:space="preserve">Вместе с тем Комиссия Управления отмечает, что в классификаторе ОКПД2 присутствует следующее детализирующее пояснение кода ОКПД2 </w:t>
      </w:r>
      <w:r>
        <w:rPr>
          <w:rStyle w:val="CharStyle3"/>
          <w:lang w:val="en-US" w:eastAsia="en-US"/>
        </w:rPr>
        <w:t xml:space="preserve">26.20.40.120 </w:t>
      </w:r>
      <w:r>
        <w:rPr>
          <w:rStyle w:val="CharStyle3"/>
        </w:rPr>
        <w:t>«Элементы замены типовые устройств ввода и вывода»: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  <w:i/>
          <w:iCs/>
        </w:rPr>
        <w:t>«Эта группировка в том числе включает: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  <w:i/>
          <w:iCs/>
        </w:rPr>
        <w:t>картриджи однокомпонентные (в одном корпусе совмещен блок фотобарабана и тонерный отсек);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9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  <w:i/>
          <w:iCs/>
        </w:rPr>
        <w:t>картриджи и прочие расходные материалы для сублимационных принтеров»;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  <w:i/>
          <w:iCs/>
        </w:rPr>
        <w:t>картриджи для струйных и каплеструйных принтеров и многофункциональных печатающих устройств;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  <w:i/>
          <w:iCs/>
        </w:rPr>
        <w:t>емкости с тонером и тонерные отсеки для лазерных и светодиодных принтеров и многофункциональных печатающих устройств;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  <w:i/>
          <w:iCs/>
        </w:rPr>
        <w:t>фотопроводниковые блоки формирования изображения и блоки переноса (барабаны, ленты) для лазерных и светодиодных принтеров и многофункциональных печатающих устройств;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  <w:i/>
          <w:iCs/>
        </w:rPr>
        <w:t>емкости с магнитным носителем порошка (девелопер) для лазерных и светодиодных принтеров и многофункциональных печатающих устройств;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  <w:i/>
          <w:iCs/>
        </w:rPr>
        <w:t>емкости с чернилами для струйных, каплеструйных и твердочернильных принтеров и многофункциональных печатающих устройств, красящие ленты для матричных и литерных принтеров;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  <w:i/>
          <w:iCs/>
        </w:rPr>
        <w:t>средства очистки системы печати для струйных, каплеструйных и твердочернильных принтеров и многофункциональных печатающих устройств, блоки сбора отработанного тонера для лазерных и светодиодных принтеров и многофункциональных печатающих устройств»</w:t>
      </w:r>
      <w:r>
        <w:rPr>
          <w:rStyle w:val="CharStyle3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</w:rPr>
        <w:t xml:space="preserve">Таким образом, код ОКПД2 </w:t>
      </w:r>
      <w:r>
        <w:rPr>
          <w:rStyle w:val="CharStyle3"/>
          <w:lang w:val="en-US" w:eastAsia="en-US"/>
        </w:rPr>
        <w:t xml:space="preserve">26.20.40.120 </w:t>
      </w:r>
      <w:r>
        <w:rPr>
          <w:rStyle w:val="CharStyle3"/>
        </w:rPr>
        <w:t xml:space="preserve">«Элементы замены типовые устройств ввода и вывода», соответствует картриджам для струйных, каплеструйных и сублимационных многофункциональных печатающих устройств, что не соответствует картриджам с лазерной технологией печати, для которых наиболее соответствующим кодом является код ОКПД2 </w:t>
      </w:r>
      <w:r>
        <w:rPr>
          <w:rStyle w:val="CharStyle3"/>
          <w:lang w:val="en-US" w:eastAsia="en-US"/>
        </w:rPr>
        <w:t xml:space="preserve">28.23.25.000, </w:t>
      </w:r>
      <w:r>
        <w:rPr>
          <w:rStyle w:val="CharStyle3"/>
        </w:rPr>
        <w:t xml:space="preserve">в отношении которого следует применять преимущество, предусмотренное положениями Постановления </w:t>
      </w:r>
      <w:r>
        <w:rPr>
          <w:rStyle w:val="CharStyle3"/>
          <w:lang w:val="en-US" w:eastAsia="en-US"/>
        </w:rPr>
        <w:t>№1875.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</w:rPr>
        <w:t>Таким образом, Комиссия Управления приходит к выводу, что данный довод Заявителя не нашел своего подтверждения и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3"/>
        </w:rPr>
        <w:t>.Признать жалобу ООО «Квазар» на действия РАН необоснованной.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82" w:val="left"/>
        </w:tabs>
        <w:bidi w:val="0"/>
        <w:spacing w:before="0" w:after="280" w:line="240" w:lineRule="auto"/>
        <w:ind w:left="0" w:right="0" w:firstLine="640"/>
        <w:jc w:val="both"/>
      </w:pPr>
      <w:r>
        <w:rPr>
          <w:rStyle w:val="CharStyle3"/>
        </w:rPr>
        <w:t>.Снять ограничения, наложенные на определение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3"/>
        </w:rPr>
        <w:t xml:space="preserve">Решение может быть обжаловано в суде (Арбитражном суде г. Москвы) в порядке, установленном гл. </w:t>
      </w:r>
      <w:r>
        <w:rPr>
          <w:rStyle w:val="CharStyle3"/>
          <w:lang w:val="en-US" w:eastAsia="en-US"/>
        </w:rPr>
        <w:t xml:space="preserve">24 </w:t>
      </w:r>
      <w:r>
        <w:rPr>
          <w:rStyle w:val="CharStyle3"/>
        </w:rPr>
        <w:t xml:space="preserve">АПК РФ, в течение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>(трех) месяцев с даты его принятия.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086" w:right="540" w:bottom="1100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0820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75pt;margin-top:26.pt;width:145.20000000000002pt;height:19.900000000000002pt;z-index:-125829372;mso-wrap-distance-left:0;mso-wrap-distance-top:26.pt;mso-wrap-distance-right:0;mso-wrap-distance-bottom:16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2750" distB="0" distL="0" distR="1798320" simplePos="0" relativeHeight="125829383" behindDoc="0" locked="0" layoutInCell="1" allowOverlap="1">
            <wp:simplePos x="0" y="0"/>
            <wp:positionH relativeFrom="page">
              <wp:posOffset>3202305</wp:posOffset>
            </wp:positionH>
            <wp:positionV relativeFrom="paragraph">
              <wp:posOffset>412750</wp:posOffset>
            </wp:positionV>
            <wp:extent cx="335280" cy="3841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3610610</wp:posOffset>
                </wp:positionH>
                <wp:positionV relativeFrom="paragraph">
                  <wp:posOffset>492125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4.30000000000001pt;margin-top:38.7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0820" distL="0" distR="0" simplePos="0" relativeHeight="125829384" behindDoc="0" locked="0" layoutInCell="1" allowOverlap="1">
                <wp:simplePos x="0" y="0"/>
                <wp:positionH relativeFrom="page">
                  <wp:posOffset>6076315</wp:posOffset>
                </wp:positionH>
                <wp:positionV relativeFrom="paragraph">
                  <wp:posOffset>330200</wp:posOffset>
                </wp:positionV>
                <wp:extent cx="113665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44999999999999pt;margin-top:26.pt;width:89.5pt;height:19.900000000000002pt;z-index:-125829369;mso-wrap-distance-left:0;mso-wrap-distance-top:26.pt;mso-wrap-distance-right:0;mso-wrap-distance-bottom:16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60" w:right="0" w:firstLine="0"/>
        <w:jc w:val="left"/>
        <w:rPr>
          <w:sz w:val="12"/>
          <w:szCs w:val="12"/>
        </w:rPr>
      </w:pPr>
      <w:r>
        <w:rPr>
          <w:rStyle w:val="CharStyle23"/>
          <w:color w:val="FFFFFF"/>
          <w:sz w:val="12"/>
          <w:szCs w:val="12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Грешнева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  <w:color w:val="292929"/>
        </w:rPr>
        <w:t xml:space="preserve">Сертификат № </w:t>
      </w:r>
      <w:r>
        <w:rPr>
          <w:rStyle w:val="CharStyle26"/>
          <w:color w:val="5D5D5D"/>
        </w:rPr>
        <w:t>00831</w:t>
      </w:r>
      <w:r>
        <w:rPr>
          <w:rStyle w:val="CharStyle26"/>
          <w:lang w:val="en-US" w:eastAsia="en-US"/>
        </w:rPr>
        <w:t>B7545C61281C4BAB156778A683BFB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6"/>
        </w:rPr>
        <w:t xml:space="preserve">Действителен с </w:t>
      </w:r>
      <w:r>
        <w:rPr>
          <w:rStyle w:val="CharStyle26"/>
          <w:color w:val="292929"/>
        </w:rPr>
        <w:t xml:space="preserve">17.07.2025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10.10.2026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6094730</wp:posOffset>
                </wp:positionH>
                <wp:positionV relativeFrom="paragraph">
                  <wp:posOffset>266700</wp:posOffset>
                </wp:positionV>
                <wp:extent cx="1118870" cy="25019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9.90000000000003pt;margin-top:21.pt;width:88.100000000000009pt;height:19.699999999999999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М.О. Мацнева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"/>
        </w:rPr>
        <w:t>Члены Комиссии: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600" w:right="0" w:firstLine="0"/>
        <w:jc w:val="left"/>
      </w:pPr>
      <w:r>
        <w:rPr>
          <w:rStyle w:val="CharStyle23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60" w:right="0" w:firstLine="0"/>
        <w:jc w:val="left"/>
        <w:rPr>
          <w:sz w:val="12"/>
          <w:szCs w:val="12"/>
        </w:rPr>
      </w:pPr>
      <w:r>
        <w:rPr>
          <w:rStyle w:val="CharStyle23"/>
          <w:color w:val="FFFFFF"/>
          <w:sz w:val="12"/>
          <w:szCs w:val="12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00FDA1C988AAB27A9A34756B8D5F1D853</w:t>
      </w:r>
      <w:r>
        <w:rPr>
          <w:rStyle w:val="CharStyle26"/>
          <w:lang w:val="en-US" w:eastAsia="en-US"/>
        </w:rPr>
        <w:t>A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6"/>
        </w:rPr>
        <w:t xml:space="preserve">Действителен с 22.07.2025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15.10.2026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8" behindDoc="0" locked="0" layoutInCell="1" allowOverlap="1">
            <wp:simplePos x="0" y="0"/>
            <wp:positionH relativeFrom="page">
              <wp:posOffset>3220720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3610610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4.30000000000001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</w:rPr>
        <w:t>А.С. Гелмутдинова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60" w:right="0" w:firstLine="0"/>
        <w:jc w:val="left"/>
        <w:rPr>
          <w:sz w:val="12"/>
          <w:szCs w:val="12"/>
        </w:rPr>
      </w:pPr>
      <w:r>
        <w:rPr>
          <w:rStyle w:val="CharStyle23"/>
          <w:color w:val="FFFFFF"/>
          <w:sz w:val="12"/>
          <w:szCs w:val="12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ГЕЛМУТДИНОВА АНАСТАСИЯ СЕРГЕЕВНА</w:t>
      </w:r>
      <w:r>
        <w:rPr>
          <w:rStyle w:val="CharStyle26"/>
          <w:color w:val="000000"/>
        </w:rPr>
        <w:t xml:space="preserve"> </w:t>
      </w: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</w:rPr>
        <w:t>723501СС21703599976371</w:t>
      </w:r>
      <w:r>
        <w:rPr>
          <w:rStyle w:val="CharStyle26"/>
          <w:lang w:val="en-US" w:eastAsia="en-US"/>
        </w:rPr>
        <w:t>4F5C652689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080" w:line="266" w:lineRule="auto"/>
        <w:ind w:right="0" w:firstLine="20"/>
        <w:jc w:val="left"/>
      </w:pPr>
      <w:r>
        <w:rPr>
          <w:rStyle w:val="CharStyle26"/>
        </w:rPr>
        <w:t xml:space="preserve">Действителен с 09.02.2026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05.05.2027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Исп.Гелмутдинова А.С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02" w:right="532" w:bottom="140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2026-25309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00000000000004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2026-25309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2026-25309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00000000000004pt;margin-top:794.70000000000005pt;width:56.899999999999999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2026-25309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3930650</wp:posOffset>
              </wp:positionH>
              <wp:positionV relativeFrom="page">
                <wp:posOffset>473075</wp:posOffset>
              </wp:positionV>
              <wp:extent cx="1524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5pt;margin-top:37.25pt;width:1.2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473075</wp:posOffset>
              </wp:positionV>
              <wp:extent cx="42545" cy="12192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4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25pt;margin-top:37.25pt;width:3.3500000000000001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3930650</wp:posOffset>
              </wp:positionH>
              <wp:positionV relativeFrom="page">
                <wp:posOffset>473075</wp:posOffset>
              </wp:positionV>
              <wp:extent cx="15240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5pt;margin-top:37.25pt;width:1.2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9">
    <w:name w:val="Heading #1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after="150"/>
      <w:ind w:left="2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8">
    <w:name w:val="Heading #1"/>
    <w:basedOn w:val="Normal"/>
    <w:link w:val="CharStyle9"/>
    <w:pPr>
      <w:widowControl w:val="0"/>
      <w:shd w:val="clear" w:color="auto" w:fill="auto"/>
      <w:spacing w:after="1980"/>
      <w:ind w:firstLine="1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1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100"/>
      <w:ind w:left="463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9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