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</w:rPr>
        <w:t>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8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11"/>
          <w:b/>
          <w:bCs/>
        </w:rPr>
        <w:t>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 w:line="283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8"/>
          <w:b/>
          <w:bCs/>
          <w:sz w:val="17"/>
          <w:szCs w:val="17"/>
        </w:rPr>
        <w:t>Федеральной антимонопольной службы</w:t>
        <w:br/>
        <w:t>по Калужской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98" w:lineRule="auto"/>
        <w:ind w:left="0" w:right="0" w:firstLine="0"/>
        <w:jc w:val="center"/>
      </w:pPr>
      <w:r>
        <w:rPr>
          <w:rStyle w:val="CharStyle8"/>
        </w:rPr>
        <w:t>пл. Старый Торг, 5, г. Калуга, 248000</w:t>
        <w:br/>
        <w:t>тел. (4842) 57-65-92, факс (4828) 57-65-92</w:t>
        <w:br/>
      </w:r>
      <w:r>
        <w:rPr>
          <w:rStyle w:val="CharStyle8"/>
          <w:lang w:val="en-US" w:eastAsia="en-US"/>
        </w:rPr>
        <w:t xml:space="preserve">e-mail: </w:t>
      </w:r>
      <w:r>
        <w:fldChar w:fldCharType="begin"/>
      </w:r>
      <w:r>
        <w:rPr/>
        <w:instrText> HYPERLINK "mailto:to40@fas.gov.ru" </w:instrText>
      </w:r>
      <w:r>
        <w:fldChar w:fldCharType="separate"/>
      </w:r>
      <w:r>
        <w:rPr>
          <w:rStyle w:val="CharStyle8"/>
          <w:lang w:val="en-US" w:eastAsia="en-US"/>
        </w:rPr>
        <w:t>to40@fas.gov.ru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3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3"/>
        </w:rPr>
        <w:t>1,05.2026</w:t>
      </w:r>
      <w:r>
        <w:rPr>
          <w:rStyle w:val="CharStyle13"/>
          <w:u w:val="none"/>
        </w:rPr>
        <w:tab/>
      </w:r>
      <w:r>
        <w:fldChar w:fldCharType="end"/>
      </w:r>
      <w:r>
        <w:rPr>
          <w:rStyle w:val="CharStyle13"/>
          <w:u w:val="none"/>
        </w:rPr>
        <w:t xml:space="preserve">№ </w:t>
      </w:r>
      <w:r>
        <w:rPr>
          <w:rStyle w:val="CharStyle13"/>
        </w:rPr>
        <w:t>АМ/2924/2</w:t>
      </w:r>
      <w:r>
        <w:rPr>
          <w:rStyle w:val="CharStyle13"/>
          <w:u w:val="none"/>
        </w:rPr>
        <w:t>6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1"/>
          <w:sz w:val="18"/>
          <w:szCs w:val="18"/>
        </w:rPr>
        <w:t xml:space="preserve">На №  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Решение №578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9"/>
        </w:rPr>
        <w:t>ООО «РТС – тендер» 121151, г. Москва, наб. Тараса Шевченко, д. 23А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9"/>
          <w:lang w:val="en-US" w:eastAsia="en-US"/>
        </w:rPr>
        <w:t>ko@rts-tender.ru</w:t>
      </w:r>
      <w:r>
        <w:fldChar w:fldCharType="end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ФГБУ «НМИЦ радиологии» Минздрава России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ул. Королева, д.4, г.Обнинск, Калужская обл., 249036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"mailto:gos_zakupki@nmirc.ru" </w:instrText>
      </w:r>
      <w:r>
        <w:fldChar w:fldCharType="separate"/>
      </w:r>
      <w:r>
        <w:rPr>
          <w:rStyle w:val="CharStyle19"/>
          <w:lang w:val="en-US" w:eastAsia="en-US"/>
        </w:rPr>
        <w:t>gos_zakupki@nmirc.ru</w:t>
      </w:r>
      <w:r>
        <w:fldChar w:fldCharType="end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58" w:right="603" w:bottom="1312" w:left="1135" w:header="0" w:footer="3" w:gutter="0"/>
          <w:pgNumType w:start="1"/>
          <w:cols w:num="2" w:space="720" w:equalWidth="0">
            <w:col w:w="4282" w:space="989"/>
            <w:col w:w="4891"/>
          </w:cols>
          <w:noEndnote/>
          <w:titlePg/>
          <w:rtlGutter w:val="0"/>
          <w:docGrid w:linePitch="360"/>
        </w:sectPr>
      </w:pPr>
      <w:r>
        <w:rPr>
          <w:rStyle w:val="CharStyle19"/>
        </w:rPr>
        <w:t xml:space="preserve">БОНДАРЕНКО ИВАН НИКОЛАЕВИЧ 197341, Г.САНКТ-ПЕТЕРБУРГ, вн.тер.г. МУНИЦИПАЛЬНЫЙ ОКРУГ КОМЕНДАНТСКИЙ АЭРОДРОМ, АЛЛЕЯ ПОЛИКАРПОВА, Д. 2, ЛИТЕРА А, КВ. 697 </w:t>
      </w:r>
      <w:r>
        <w:fldChar w:fldCharType="begin"/>
      </w:r>
      <w:r>
        <w:rPr/>
        <w:instrText> HYPERLINK "mailto:bondarenko.dgv@mail.ru" </w:instrText>
      </w:r>
      <w:r>
        <w:fldChar w:fldCharType="separate"/>
      </w:r>
      <w:r>
        <w:rPr>
          <w:rStyle w:val="CharStyle19"/>
          <w:lang w:val="en-US" w:eastAsia="en-US"/>
        </w:rPr>
        <w:t>bondarenko.dgv@mail.ru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0" w:after="10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9" w:right="0" w:bottom="134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rStyle w:val="CharStyle19"/>
          <w:b/>
          <w:bCs/>
        </w:rPr>
        <w:t>Р Е Ш Е Н И Е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380" w:right="0" w:firstLine="820"/>
        <w:jc w:val="left"/>
      </w:pPr>
      <w:r>
        <w:rPr>
          <w:rStyle w:val="CharStyle19"/>
          <w:b/>
          <w:bCs/>
        </w:rPr>
        <w:t>Комиссии по контролю в сфере закупок товаров, работ, услуг для обеспечения государственных и муниципальных нужд Калужского УФАС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rStyle w:val="CharStyle19"/>
          <w:b/>
          <w:bCs/>
        </w:rPr>
        <w:t>России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462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1516380</wp:posOffset>
                </wp:positionH>
                <wp:positionV relativeFrom="paragraph">
                  <wp:posOffset>12700</wp:posOffset>
                </wp:positionV>
                <wp:extent cx="701040" cy="25273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1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г. Калуга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19.40000000000001pt;margin-top:1.pt;width:55.200000000000003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г. Калуга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9"/>
        </w:rPr>
        <w:t>«21» мая 2026 года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1800" w:right="0" w:firstLine="0"/>
        <w:jc w:val="left"/>
      </w:pPr>
      <w:r>
        <w:rPr>
          <w:rStyle w:val="CharStyle19"/>
        </w:rPr>
        <w:t>Резолютивная часть решения оглашена «18» мая 2026 года.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/>
        <w:ind w:left="1800" w:right="0" w:firstLine="0"/>
        <w:jc w:val="left"/>
      </w:pPr>
      <w:r>
        <w:rPr>
          <w:rStyle w:val="CharStyle19"/>
        </w:rPr>
        <w:t>В полном объеме решение изготовлено «21» мая 2026 года.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700"/>
        <w:ind w:left="0" w:right="0" w:firstLine="600"/>
        <w:jc w:val="left"/>
      </w:pPr>
      <w:r>
        <w:rPr>
          <w:rStyle w:val="CharStyle19"/>
        </w:rPr>
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2683" w:val="left"/>
        </w:tabs>
        <w:bidi w:val="0"/>
        <w:spacing w:before="0" w:after="0" w:line="240" w:lineRule="auto"/>
        <w:ind w:left="0" w:right="0" w:firstLine="600"/>
        <w:jc w:val="left"/>
      </w:pPr>
      <w:r>
        <w:rPr>
          <w:rStyle w:val="CharStyle19"/>
        </w:rPr>
        <w:t>Магер</w:t>
        <w:tab/>
        <w:t>- председатель комиссии, заместитель Калужского УФАС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2093" w:val="left"/>
        </w:tabs>
        <w:bidi w:val="0"/>
        <w:spacing w:before="0" w:after="320" w:line="240" w:lineRule="auto"/>
        <w:ind w:left="0" w:right="0" w:firstLine="0"/>
        <w:jc w:val="left"/>
      </w:pPr>
      <w:r>
        <w:rPr>
          <w:rStyle w:val="CharStyle19"/>
        </w:rPr>
        <w:t>А.А.</w:t>
        <w:tab/>
        <w:t>России</w:t>
      </w:r>
    </w:p>
    <w:p>
      <w:pPr>
        <w:widowControl w:val="0"/>
        <w:spacing w:line="1" w:lineRule="exact"/>
      </w:pPr>
      <w:r>
        <w:drawing>
          <wp:anchor distT="152400" distB="0" distL="0" distR="0" simplePos="0" relativeHeight="125829380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152400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80"/>
        <w:jc w:val="both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1070610</wp:posOffset>
                </wp:positionH>
                <wp:positionV relativeFrom="paragraph">
                  <wp:posOffset>12700</wp:posOffset>
                </wp:positionV>
                <wp:extent cx="731520" cy="25273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15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Васильев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4.299999999999997pt;margin-top:1.pt;width:57.600000000000001pt;height:19.900000000000002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Васильев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>член комиссии, заместитель начальника отдела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2034" w:val="left"/>
        </w:tabs>
        <w:bidi w:val="0"/>
        <w:spacing w:before="0" w:after="280"/>
        <w:ind w:left="0" w:right="0" w:firstLine="0"/>
        <w:jc w:val="both"/>
      </w:pPr>
      <w:r>
        <w:rPr>
          <w:rStyle w:val="CharStyle19"/>
        </w:rPr>
        <w:t>А.А.</w:t>
        <w:tab/>
        <w:t xml:space="preserve">Калужского УФАС России </w:t>
      </w:r>
      <w:r>
        <w:rPr>
          <w:rStyle w:val="CharStyle19"/>
          <w:lang w:val="en-US" w:eastAsia="en-US"/>
        </w:rPr>
        <w:t>,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2034" w:val="left"/>
        </w:tabs>
        <w:bidi w:val="0"/>
        <w:spacing w:before="0" w:after="0"/>
        <w:ind w:left="0" w:right="0" w:firstLine="600"/>
        <w:jc w:val="both"/>
      </w:pPr>
      <w:r>
        <w:rPr>
          <w:rStyle w:val="CharStyle19"/>
        </w:rPr>
        <w:t xml:space="preserve">Дорогова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член комиссии, специалист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>эксперт Калужского УФАС О.А.</w:t>
        <w:tab/>
        <w:t>России;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9"/>
        </w:rPr>
        <w:t xml:space="preserve">при участии посредством видеоконференцсвязи: представителей заказчика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 xml:space="preserve">МРНЦ им. А.Ф. Цыба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филиал ФГБУ «НМИЦ радиологии» Минздрава России Важновой Д.Л. (доверенность, паспорт), Сарян А.А. (доверенность, паспорт), представителя заявителя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ИП Бондаренко И.Н. Коростелевой О.С. (доверенность, паспорт) </w:t>
      </w:r>
      <w:r>
        <w:rPr>
          <w:rStyle w:val="CharStyle19"/>
          <w:lang w:val="en-US" w:eastAsia="en-US"/>
        </w:rPr>
        <w:t>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9"/>
        </w:rPr>
        <w:t xml:space="preserve">рассмотрев посредством видеоконференцсвязи жалобу </w:t>
      </w:r>
      <w:r>
        <w:rPr>
          <w:rStyle w:val="CharStyle19"/>
          <w:lang w:val="en-US" w:eastAsia="en-US"/>
        </w:rPr>
        <w:t xml:space="preserve">№040/06/105-578/2026 </w:t>
      </w:r>
      <w:r>
        <w:rPr>
          <w:rStyle w:val="CharStyle19"/>
        </w:rPr>
        <w:t xml:space="preserve">ИП Бондаренко И.Н. по существу, </w:t>
      </w:r>
      <w:r>
        <w:rPr>
          <w:rStyle w:val="CharStyle19"/>
          <w:b/>
          <w:bCs/>
        </w:rPr>
        <w:t>установила</w:t>
      </w:r>
      <w:r>
        <w:rPr>
          <w:rStyle w:val="CharStyle19"/>
        </w:rPr>
        <w:t>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9"/>
        </w:rPr>
        <w:t xml:space="preserve">12.05.2026г. в адрес Калужского УФАС России поступила жалоба ИП Бондаренко И.Н. на положения извещения об осуществлении закупки при проведении аукциона в электронной форме (номер извещения на официальном сайте </w:t>
      </w:r>
      <w:r>
        <w:rPr>
          <w:rStyle w:val="CharStyle19"/>
          <w:lang w:val="en-US" w:eastAsia="en-US"/>
        </w:rPr>
        <w:t xml:space="preserve">0337400000726000358), </w:t>
      </w:r>
      <w:r>
        <w:rPr>
          <w:rStyle w:val="CharStyle19"/>
        </w:rPr>
        <w:t xml:space="preserve">предметом которого поставка расходных материалов для медицинских целей (далее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>Аукцион).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9"/>
        </w:rPr>
        <w:t>Заявитель полагает, что извещение об осуществлении закупки, не соответствует требованиям Закона о контрактной системе.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9"/>
        </w:rPr>
        <w:t>Заказчиком представлены пояснения по существу доводов жалобы Заявителя, в которых указанно, что доводы названной жалобы являются необоснованными, а действия Заказчика основаны на положениях Закона о контрактной системе.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9"/>
        </w:rPr>
        <w:t xml:space="preserve">Изучив представленные документы, с учетом доводов сторон, руководствуясь Законом о контрактной системе, проведя внеплановую проверку в соответствии с пунктом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15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99 </w:t>
      </w:r>
      <w:r>
        <w:rPr>
          <w:rStyle w:val="CharStyle19"/>
        </w:rPr>
        <w:t>Закона о контрактной системе, Комиссия Калужского УФАС России приходит к следующему.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/>
        <w:ind w:left="0" w:right="0" w:firstLine="600"/>
        <w:jc w:val="both"/>
      </w:pPr>
      <w:r>
        <w:rPr>
          <w:rStyle w:val="CharStyle19"/>
        </w:rPr>
        <w:t xml:space="preserve">05.05.2026г. (с последующими изменениями от 06.05.2026г., </w:t>
      </w:r>
      <w:r>
        <w:rPr>
          <w:rStyle w:val="CharStyle19"/>
          <w:lang w:val="en-US" w:eastAsia="en-US"/>
        </w:rPr>
        <w:t xml:space="preserve">08.05.2026) </w:t>
      </w:r>
      <w:r>
        <w:rPr>
          <w:rStyle w:val="CharStyle19"/>
        </w:rPr>
        <w:t xml:space="preserve">на официальном сайте Единой информационной системы в сфере закупок </w:t>
      </w:r>
      <w:r>
        <w:rPr>
          <w:rStyle w:val="CharStyle19"/>
          <w:lang w:val="en-US" w:eastAsia="en-US"/>
        </w:rPr>
        <w:t>(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9"/>
          <w:lang w:val="en-US" w:eastAsia="en-US"/>
        </w:rPr>
        <w:t>www.zakupki.gov.ru</w:t>
      </w:r>
      <w:r>
        <w:fldChar w:fldCharType="end"/>
      </w:r>
      <w:r>
        <w:rPr>
          <w:rStyle w:val="CharStyle19"/>
          <w:lang w:val="en-US" w:eastAsia="en-US"/>
        </w:rPr>
        <w:t xml:space="preserve">; </w:t>
      </w:r>
      <w:r>
        <w:rPr>
          <w:rStyle w:val="CharStyle19"/>
        </w:rPr>
        <w:t xml:space="preserve">далее также официальный сайт, ЕИС) опубликовано извещение </w:t>
      </w:r>
      <w:r>
        <w:rPr>
          <w:rStyle w:val="CharStyle19"/>
          <w:lang w:val="en-US" w:eastAsia="en-US"/>
        </w:rPr>
        <w:t xml:space="preserve">№0337400000726000358, </w:t>
      </w:r>
      <w:r>
        <w:rPr>
          <w:rStyle w:val="CharStyle19"/>
        </w:rPr>
        <w:t>предметом которого поставка расходных материалов для медицинских целей.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9"/>
        </w:rPr>
        <w:t xml:space="preserve">Начальная (максимальная) цена контракта, согласно извещению о проведении закупки, составляет </w:t>
      </w:r>
      <w:r>
        <w:rPr>
          <w:rStyle w:val="CharStyle19"/>
          <w:lang w:val="en-US" w:eastAsia="en-US"/>
        </w:rPr>
        <w:t xml:space="preserve">1 522 125,00 </w:t>
      </w:r>
      <w:r>
        <w:rPr>
          <w:rStyle w:val="CharStyle19"/>
        </w:rPr>
        <w:t>рублей.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9"/>
        </w:rPr>
        <w:t xml:space="preserve">Дата и время окончания срока подачи заявок на участие в закупке: </w:t>
      </w:r>
      <w:r>
        <w:rPr>
          <w:rStyle w:val="CharStyle19"/>
          <w:lang w:val="en-US" w:eastAsia="en-US"/>
        </w:rPr>
        <w:t>13.05.2026 08:00.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9"/>
        </w:rPr>
        <w:t xml:space="preserve">Заказчиком по указанной закупке выступало МРНЦ им. А.Ф. Цыба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>филиал ФГБУ «НМИЦ радиологии» Минздрава России.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4" w:val="left"/>
        </w:tabs>
        <w:bidi w:val="0"/>
        <w:spacing w:before="0" w:after="180"/>
        <w:ind w:left="0" w:right="0" w:firstLine="6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9" w:right="621" w:bottom="1342" w:left="1079" w:header="0" w:footer="3" w:gutter="0"/>
          <w:cols w:space="720"/>
          <w:noEndnote/>
          <w:rtlGutter w:val="0"/>
          <w:docGrid w:linePitch="360"/>
        </w:sectPr>
      </w:pPr>
      <w:r>
        <w:rPr>
          <w:rStyle w:val="CharStyle19"/>
        </w:rPr>
        <w:t xml:space="preserve">В соответствии с пунктами </w:t>
      </w:r>
      <w:r>
        <w:rPr>
          <w:rStyle w:val="CharStyle19"/>
          <w:lang w:val="en-US" w:eastAsia="en-US"/>
        </w:rPr>
        <w:t xml:space="preserve">1,3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42 </w:t>
      </w:r>
      <w:r>
        <w:rPr>
          <w:rStyle w:val="CharStyle19"/>
        </w:rPr>
        <w:t>Закона о контрактной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9"/>
        </w:rPr>
        <w:t xml:space="preserve">системе установлено, что извещение об осуществлении закупки, если иное не предусмотрено настоящим Федеральным законом, должно содержать, в частности, следующие электронные документы: описание объекта закупки в соответствии со статьей </w:t>
      </w:r>
      <w:r>
        <w:rPr>
          <w:rStyle w:val="CharStyle19"/>
          <w:lang w:val="en-US" w:eastAsia="en-US"/>
        </w:rPr>
        <w:t xml:space="preserve">33 </w:t>
      </w:r>
      <w:r>
        <w:rPr>
          <w:rStyle w:val="CharStyle19"/>
        </w:rPr>
        <w:t>настоящего Федерального закона,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19"/>
        </w:rPr>
        <w:t xml:space="preserve">Согласно пункту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33 </w:t>
      </w:r>
      <w:r>
        <w:rPr>
          <w:rStyle w:val="CharStyle19"/>
        </w:rPr>
        <w:t>Закона о контрактной системе установлено,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1" w:val="left"/>
        </w:tabs>
        <w:bidi w:val="0"/>
        <w:spacing w:before="0" w:after="0"/>
        <w:ind w:left="0" w:right="0" w:firstLine="580"/>
        <w:jc w:val="both"/>
      </w:pPr>
      <w:r>
        <w:rPr>
          <w:rStyle w:val="CharStyle19"/>
        </w:rPr>
        <w:t>сопровождение такого указания словами "или эквивалент";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6" w:val="left"/>
        </w:tabs>
        <w:bidi w:val="0"/>
        <w:spacing w:before="0" w:after="0"/>
        <w:ind w:left="0" w:right="0" w:firstLine="580"/>
        <w:jc w:val="both"/>
      </w:pPr>
      <w:r>
        <w:rPr>
          <w:rStyle w:val="CharStyle19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6" w:val="left"/>
        </w:tabs>
        <w:bidi w:val="0"/>
        <w:spacing w:before="0" w:after="0"/>
        <w:ind w:left="0" w:right="0" w:firstLine="580"/>
        <w:jc w:val="both"/>
      </w:pPr>
      <w:r>
        <w:rPr>
          <w:rStyle w:val="CharStyle19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6" w:val="left"/>
        </w:tabs>
        <w:bidi w:val="0"/>
        <w:spacing w:before="0" w:after="0"/>
        <w:ind w:left="0" w:right="0" w:firstLine="580"/>
        <w:jc w:val="both"/>
      </w:pPr>
      <w:r>
        <w:rPr>
          <w:rStyle w:val="CharStyle19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580"/>
        <w:jc w:val="both"/>
        <w:rPr>
          <w:sz w:val="24"/>
          <w:szCs w:val="24"/>
        </w:rPr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05" w:right="684" w:bottom="588" w:left="1106" w:header="677" w:footer="160" w:gutter="0"/>
          <w:cols w:space="720"/>
          <w:noEndnote/>
          <w:rtlGutter w:val="0"/>
          <w:docGrid w:linePitch="360"/>
        </w:sectPr>
      </w:pPr>
      <w:r>
        <w:rPr>
          <w:rStyle w:val="CharStyle19"/>
        </w:rPr>
        <w:t xml:space="preserve">В соответствии с пунктом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33 </w:t>
      </w:r>
      <w:r>
        <w:rPr>
          <w:rStyle w:val="CharStyle19"/>
        </w:rPr>
        <w:t xml:space="preserve">Закона о контрактной системе установлено, что заказчик при описании в документации о закупке объекта закупки также должен руководствоваться следующими правилами: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</w:t>
      </w:r>
      <w:r>
        <w:rPr>
          <w:rStyle w:val="CharStyle19"/>
          <w:sz w:val="24"/>
          <w:szCs w:val="24"/>
          <w:lang w:val="en-US" w:eastAsia="en-US"/>
        </w:rPr>
        <w:t>2026-3120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100" w:after="0"/>
        <w:ind w:left="0" w:right="0" w:firstLine="0"/>
        <w:jc w:val="both"/>
      </w:pPr>
      <w:r>
        <w:rPr>
          <w:rStyle w:val="CharStyle19"/>
        </w:rPr>
        <w:t>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19"/>
        </w:rPr>
        <w:t xml:space="preserve">В соответствии с частью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33 </w:t>
      </w:r>
      <w:r>
        <w:rPr>
          <w:rStyle w:val="CharStyle19"/>
        </w:rPr>
        <w:t xml:space="preserve">Закона о контрактной системе установлено, что документация о закупке в соответствии с требованиями, указанными вчасти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>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3" w:val="left"/>
        </w:tabs>
        <w:bidi w:val="0"/>
        <w:spacing w:before="0" w:after="0"/>
        <w:ind w:left="0" w:right="0" w:firstLine="580"/>
        <w:jc w:val="both"/>
      </w:pPr>
      <w:r>
        <w:rPr>
          <w:rStyle w:val="CharStyle19"/>
        </w:rPr>
        <w:t>Согласно доводам жалобы Заявителя, описание объекта закупки ограничивает круг возможных участников.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19"/>
        </w:rPr>
        <w:t>В ходе рассмотрения жалобы по существу, Комиссия Калужского УФАС России установила следующее.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19"/>
        </w:rPr>
        <w:t>При описании объекта закупки Заказчику в рамках закона предоставлены полномочия по самостоятельному определению параметров и характеристик товара, в наибольшей степени удовлетворяющих его потребности.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19"/>
        </w:rPr>
        <w:t>Из буквального толкования вышеприведенных положений Закона о контрактной системе следует, что Заказчики, осуществляющие закупку по правилам Закона о контрактной системе, при описании объекта закупки должны таким образом описать требования к закупаемым товарам, работам, услугам, чтобы, с одной стороны, повысить шансы на приобретение товара именно с такими характеристиками, которые ему необходимы, а с другой стороны, не ограничить количество участников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19"/>
        </w:rPr>
        <w:t>Согласно письменным пояснениям Заказчика, Указанные параметры установлены Заказчиком, исходя из специфики использования товара, клинической практики и методик лечебного процесса и являются типичными характеристиками стента для коронарных артерий, выделяющего лекарственное средство и напрямую влияют на его эксплуатационные характеристики.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9"/>
        </w:rPr>
        <w:t>Стенты с гибридными или открытыми ячейками обладают лучшей гибкостью, обеспечивают адаптацию сента к извитой анатомии коронарных сосудов, снижают риск деформации конструкции при сложных вмешательствах. Использование стентов с открытым или гибридным типом ячеек обеспечивает более высокую доставляемость системы в условиях сложной анатомии коронарного русла, что имеет существенное значение при выполнении вмешательств пациентам с выраженными кальцинированными и протяженными поражениями сосудов Открытые и гибридные стенты предпочтительны при сложных анатомических условиях, бифуркациях и у пациентов с высоким риском рестеноза или тромбоза.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9"/>
        </w:rPr>
        <w:t xml:space="preserve">Номнальная доза лекарственного препарата на </w:t>
      </w:r>
      <w:r>
        <w:rPr>
          <w:rStyle w:val="CharStyle19"/>
          <w:lang w:val="en-US" w:eastAsia="en-US"/>
        </w:rPr>
        <w:t xml:space="preserve">мм² </w:t>
      </w:r>
      <w:r>
        <w:rPr>
          <w:rStyle w:val="CharStyle19"/>
        </w:rPr>
        <w:t>площади поверхности стента влияет на скорость и равномерность высвобождения лекарственного вещества, на эффективность подавления неоинтимальной гиперплазии; на снижение риска рестеноза Установленный диапазон дозировки обусловлен терапевтическими задачами и клиническими требованиями к лечению пациентов, обеспечивает необходимый баланс между клинической эффективностью антипролиферативного действия и безопасностью применения изделия, включая снижение риска позднего тромбоза стента.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9"/>
        </w:rPr>
        <w:t>Установленные параметры в отношении характеристик Толщина страта стента, Диаметр проксимального шафта поясняем также необходимы для уменьшения рестеноза (повторное сужение просвета сосуда, возникающее в процессе восстановления его стенки после повреждения), повышения безопасность и эффективность процедуры стентирования, обеспечения оптимального взаимодействия с сопутствующими инструментами.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9"/>
        </w:rPr>
        <w:t>Данные характеристики не являются уникальными или исключительными Требование обусловлено особенностями клинического применения изделий и направлено на повышение безопасности и эффективности лечения.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9"/>
        </w:rPr>
        <w:t xml:space="preserve">В ходе рассмотрения жалобы по существу, исходя из представленных в материалы дела документов, Комиссия Калужского УФАС России установила, что заказчиком получены </w:t>
      </w:r>
      <w:r>
        <w:rPr>
          <w:rStyle w:val="CharStyle19"/>
          <w:lang w:val="en-US" w:eastAsia="en-US"/>
        </w:rPr>
        <w:t xml:space="preserve">3 </w:t>
      </w:r>
      <w:r>
        <w:rPr>
          <w:rStyle w:val="CharStyle19"/>
        </w:rPr>
        <w:t xml:space="preserve">коммерческих предложения, описанию объекта закупки (по всем позициям, включая оспариваемые) соответствует товар не менее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производителей, по окончании срока подачи заявок на участие в закупке подано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>заявки с предложением о поставке товара различных производителей, что свидетельствует об обеспечении конкуренции.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9"/>
        </w:rPr>
        <w:t>Отсутствие у каких-либо лиц, заинтересованных в заключении контракта, возможности поставить товар, соответствующий потребностям Заказчика, не свидетельствует о нарушении заказчиком прав этих лиц, а также об ограничении заказчиком числа участников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9"/>
        </w:rPr>
        <w:t>На основании вышеизложенного, Комиссия Калужского УФАС России приходит к выводу о необоснованности доводов жалобы Заявителя.</w:t>
      </w:r>
      <w:r>
        <w:br w:type="page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580"/>
        <w:jc w:val="both"/>
      </w:pPr>
      <w:r>
        <w:rPr>
          <w:rStyle w:val="CharStyle19"/>
        </w:rPr>
        <w:t xml:space="preserve">С учетом всех изложенных обстоятельств, установленных в ходе рассмотрения жалобы, руководствуясь пунктом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15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99, </w:t>
      </w:r>
      <w:r>
        <w:rPr>
          <w:rStyle w:val="CharStyle19"/>
        </w:rPr>
        <w:t xml:space="preserve">частью </w:t>
      </w:r>
      <w:r>
        <w:rPr>
          <w:rStyle w:val="CharStyle19"/>
          <w:lang w:val="en-US" w:eastAsia="en-US"/>
        </w:rPr>
        <w:t xml:space="preserve">8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106 </w:t>
      </w:r>
      <w:r>
        <w:rPr>
          <w:rStyle w:val="CharStyle19"/>
        </w:rPr>
        <w:t xml:space="preserve">Закона о контрактной системе, Комиссия Калужского УФАС России </w:t>
      </w:r>
      <w:r>
        <w:rPr>
          <w:rStyle w:val="CharStyle19"/>
          <w:b/>
          <w:bCs/>
        </w:rPr>
        <w:t>решила: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580"/>
        <w:jc w:val="both"/>
      </w:pPr>
      <w:r>
        <w:rPr>
          <w:rStyle w:val="CharStyle19"/>
          <w:lang w:val="en-US" w:eastAsia="en-US"/>
        </w:rPr>
        <w:t xml:space="preserve">1. </w:t>
      </w:r>
      <w:r>
        <w:rPr>
          <w:rStyle w:val="CharStyle19"/>
        </w:rPr>
        <w:t xml:space="preserve">Признать жалобу ИП Бондаренко И.Н. </w:t>
      </w:r>
      <w:r>
        <w:rPr>
          <w:rStyle w:val="CharStyle19"/>
          <w:b/>
          <w:bCs/>
        </w:rPr>
        <w:t>необоснованной.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19"/>
        </w:rPr>
        <w:t xml:space="preserve">В соответствии с частью </w:t>
      </w:r>
      <w:r>
        <w:rPr>
          <w:rStyle w:val="CharStyle19"/>
          <w:lang w:val="en-US" w:eastAsia="en-US"/>
        </w:rPr>
        <w:t xml:space="preserve">9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106 </w:t>
      </w:r>
      <w:r>
        <w:rPr>
          <w:rStyle w:val="CharStyle19"/>
        </w:rPr>
        <w:t>Закона о контрактной системе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>
      <w:pPr>
        <w:widowControl w:val="0"/>
        <w:spacing w:line="1" w:lineRule="exact"/>
        <w:sectPr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026" w:right="612" w:bottom="1132" w:left="1069" w:header="598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31140" distL="0" distR="0" simplePos="0" relativeHeight="125829383" behindDoc="0" locked="0" layoutInCell="1" allowOverlap="1">
                <wp:simplePos x="0" y="0"/>
                <wp:positionH relativeFrom="page">
                  <wp:posOffset>715010</wp:posOffset>
                </wp:positionH>
                <wp:positionV relativeFrom="paragraph">
                  <wp:posOffset>127000</wp:posOffset>
                </wp:positionV>
                <wp:extent cx="1825625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6.300000000000004pt;margin-top:10.pt;width:143.75pt;height:19.699999999999999pt;z-index:-125829370;mso-wrap-distance-left:0;mso-wrap-distance-top:10.pt;mso-wrap-distance-right:0;mso-wrap-distance-bottom:18.199999999999999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27330" distB="36830" distL="0" distR="1816735" simplePos="0" relativeHeight="125829385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227330</wp:posOffset>
            </wp:positionV>
            <wp:extent cx="298450" cy="34734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3049270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0.09999999999999pt;margin-top:22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79730" distB="0" distL="0" distR="0" simplePos="0" relativeHeight="125829386" behindDoc="0" locked="0" layoutInCell="1" allowOverlap="1">
                <wp:simplePos x="0" y="0"/>
                <wp:positionH relativeFrom="page">
                  <wp:posOffset>6268720</wp:posOffset>
                </wp:positionH>
                <wp:positionV relativeFrom="paragraph">
                  <wp:posOffset>379730</wp:posOffset>
                </wp:positionV>
                <wp:extent cx="892810" cy="22860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281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9"/>
                              </w:rPr>
                              <w:t>А.А. Магер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93.60000000000002pt;margin-top:29.900000000000002pt;width:70.299999999999997pt;height:18.pt;z-index:-125829367;mso-wrap-distance-left:0;mso-wrap-distance-top:29.900000000000002pt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9"/>
                        </w:rPr>
                        <w:t>А.А. Магер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1"/>
          <w:szCs w:val="11"/>
        </w:rPr>
      </w:pPr>
      <w:r>
        <w:rPr>
          <w:rStyle w:val="CharStyle26"/>
          <w:color w:val="FFFFFF"/>
          <w:sz w:val="11"/>
          <w:szCs w:val="11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  <w:sz w:val="11"/>
          <w:szCs w:val="11"/>
        </w:rPr>
        <w:t>Магер Александр Александрович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43F785D30FB94A7A3626FEF2EC4D9803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6"/>
        </w:rPr>
        <w:t xml:space="preserve">Действителен с 21.04.2025 </w:t>
      </w:r>
      <w:r>
        <w:rPr>
          <w:rStyle w:val="CharStyle26"/>
          <w:color w:val="5D5D5D"/>
        </w:rPr>
        <w:t xml:space="preserve">по </w:t>
      </w:r>
      <w:r>
        <w:rPr>
          <w:rStyle w:val="CharStyle26"/>
        </w:rPr>
        <w:t>15.07.2026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left"/>
      </w:pPr>
      <w:r>
        <w:drawing>
          <wp:anchor distT="0" distB="0" distL="114300" distR="1918970" simplePos="0" relativeHeight="125829388" behindDoc="0" locked="0" layoutInCell="1" allowOverlap="1">
            <wp:simplePos x="0" y="0"/>
            <wp:positionH relativeFrom="page">
              <wp:posOffset>2653665</wp:posOffset>
            </wp:positionH>
            <wp:positionV relativeFrom="paragraph">
              <wp:posOffset>355600</wp:posOffset>
            </wp:positionV>
            <wp:extent cx="316865" cy="36576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3049905</wp:posOffset>
                </wp:positionH>
                <wp:positionV relativeFrom="paragraph">
                  <wp:posOffset>425450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0.15000000000001pt;margin-top:33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9"/>
        </w:rPr>
        <w:t>Члены комиссии: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1900" w:right="0" w:firstLine="0"/>
        <w:jc w:val="left"/>
      </w:pPr>
      <w:r>
        <w:rPr>
          <w:rStyle w:val="CharStyle19"/>
        </w:rPr>
        <w:t>А.А.Васильев</w: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1"/>
          <w:szCs w:val="11"/>
        </w:rPr>
      </w:pPr>
      <w:r>
        <w:rPr>
          <w:rStyle w:val="CharStyle26"/>
          <w:color w:val="FFFFFF"/>
          <w:sz w:val="11"/>
          <w:szCs w:val="11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  <w:sz w:val="11"/>
          <w:szCs w:val="11"/>
        </w:rPr>
        <w:t>Васильев Александр Анатольевич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7BF98D842188A4B4C3F8EAD54EE3400B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6"/>
        </w:rPr>
        <w:t xml:space="preserve">Действителен с 09.07.2025 </w:t>
      </w:r>
      <w:r>
        <w:rPr>
          <w:rStyle w:val="CharStyle26"/>
          <w:color w:val="5D5D5D"/>
        </w:rPr>
        <w:t xml:space="preserve">по </w:t>
      </w:r>
      <w:r>
        <w:rPr>
          <w:rStyle w:val="CharStyle26"/>
        </w:rPr>
        <w:t>02.10.2026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900" w:right="0" w:firstLine="0"/>
        <w:jc w:val="lef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2629535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3089910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3.30000000000001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3049905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0.15000000000001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9"/>
        </w:rPr>
        <w:t>О.А.Дорогова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  <w:sz w:val="11"/>
          <w:szCs w:val="11"/>
        </w:rPr>
        <w:t>Дорогова Ольга Анатольевна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7B040558E7348B1EB64300C76EEAFA55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rStyle w:val="CharStyle26"/>
        </w:rPr>
        <w:t xml:space="preserve">Действителен с 09.07.2025 </w:t>
      </w:r>
      <w:r>
        <w:rPr>
          <w:rStyle w:val="CharStyle26"/>
          <w:color w:val="5D5D5D"/>
        </w:rPr>
        <w:t xml:space="preserve">по </w:t>
      </w:r>
      <w:r>
        <w:rPr>
          <w:rStyle w:val="CharStyle26"/>
        </w:rPr>
        <w:t>02.10.2026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74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732155</wp:posOffset>
              </wp:positionH>
              <wp:positionV relativeFrom="page">
                <wp:posOffset>10038080</wp:posOffset>
              </wp:positionV>
              <wp:extent cx="661670" cy="12509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2026-3120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649999999999999pt;margin-top:790.39999999999998pt;width:52.10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2026-3120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9854565</wp:posOffset>
              </wp:positionV>
              <wp:extent cx="661670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  <w:lang w:val="ru-RU" w:eastAsia="ru-RU"/>
                            </w:rPr>
                            <w:t>2026-3120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75pt;margin-top:775.95000000000005pt;width:52.10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  <w:lang w:val="ru-RU" w:eastAsia="ru-RU"/>
                      </w:rPr>
                      <w:t>2026-3120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732155</wp:posOffset>
              </wp:positionH>
              <wp:positionV relativeFrom="page">
                <wp:posOffset>10038080</wp:posOffset>
              </wp:positionV>
              <wp:extent cx="661670" cy="12509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2026-3120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649999999999999pt;margin-top:790.39999999999998pt;width:52.100000000000001pt;height:9.84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2026-3120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6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34"/>
      <w:szCs w:val="134"/>
      <w:u w:val="none"/>
      <w:lang w:val="en-US" w:eastAsia="en-US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8">
    <w:name w:val="Body text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character" w:customStyle="1" w:styleId="CharStyle11">
    <w:name w:val="Body text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character" w:customStyle="1" w:styleId="CharStyle13">
    <w:name w:val="Heading #1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Body text (5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9">
    <w:name w:val="Body text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3">
    <w:name w:val="Picture caption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6">
    <w:name w:val="Body text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Body text (6)"/>
    <w:basedOn w:val="Normal"/>
    <w:link w:val="CharStyle3"/>
    <w:pPr>
      <w:widowControl w:val="0"/>
      <w:shd w:val="clear" w:color="auto" w:fill="auto"/>
      <w:spacing w:after="1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34"/>
      <w:szCs w:val="134"/>
      <w:u w:val="none"/>
      <w:lang w:val="en-US" w:eastAsia="en-US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7">
    <w:name w:val="Body text (3)"/>
    <w:basedOn w:val="Normal"/>
    <w:link w:val="CharStyle8"/>
    <w:pPr>
      <w:widowControl w:val="0"/>
      <w:shd w:val="clear" w:color="auto" w:fill="auto"/>
      <w:spacing w:after="180" w:line="29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paragraph" w:customStyle="1" w:styleId="Style10">
    <w:name w:val="Body text (4)"/>
    <w:basedOn w:val="Normal"/>
    <w:link w:val="CharStyle11"/>
    <w:pPr>
      <w:widowControl w:val="0"/>
      <w:shd w:val="clear" w:color="auto" w:fill="auto"/>
      <w:spacing w:after="310" w:line="259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paragraph" w:customStyle="1" w:styleId="Style12">
    <w:name w:val="Heading #1"/>
    <w:basedOn w:val="Normal"/>
    <w:link w:val="CharStyle13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Body text (5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18">
    <w:name w:val="Body text"/>
    <w:basedOn w:val="Normal"/>
    <w:link w:val="CharStyle19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2">
    <w:name w:val="Picture caption"/>
    <w:basedOn w:val="Normal"/>
    <w:link w:val="CharStyle2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5">
    <w:name w:val="Body text (2)"/>
    <w:basedOn w:val="Normal"/>
    <w:link w:val="CharStyle26"/>
    <w:pPr>
      <w:widowControl w:val="0"/>
      <w:shd w:val="clear" w:color="auto" w:fill="auto"/>
      <w:spacing w:after="50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png"/><Relationship Id="rId8" Type="http://schemas.openxmlformats.org/officeDocument/2006/relationships/image" Target="media/image1.png" TargetMode="External"/><Relationship Id="rId9" Type="http://schemas.openxmlformats.org/officeDocument/2006/relationships/footer" Target="footer3.xml"/><Relationship Id="rId10" Type="http://schemas.openxmlformats.org/officeDocument/2006/relationships/footer" Target="footer4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